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bookmarkStart w:id="5" w:name="_GoBack"/>
      <w:bookmarkEnd w:id="5"/>
      <w:r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四川省强农惠农政策明白纸</w:t>
      </w:r>
    </w:p>
    <w:p w14:paraId="2CD2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90" w:firstLineChars="100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之</w:t>
      </w:r>
    </w:p>
    <w:p w14:paraId="5D3A61F4">
      <w:pPr>
        <w:jc w:val="center"/>
      </w:pPr>
    </w:p>
    <w:p w14:paraId="0A693420">
      <w:pPr>
        <w:jc w:val="center"/>
      </w:pP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中央耕地建设与利用资金政策</w:t>
      </w:r>
    </w:p>
    <w:p w14:paraId="7387D036"/>
    <w:p w14:paraId="5D25941C"/>
    <w:p w14:paraId="79AC9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0" w:name="_Toc24297"/>
    </w:p>
    <w:p w14:paraId="477A8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A1BD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DB2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0141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B80A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E509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991E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418A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BDAB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4EE8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0E3A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A03E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BE0C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F7C2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027B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A74F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48E0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DB5F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bookmarkEnd w:id="0"/>
    <w:p w14:paraId="67CFF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1" w:name="_Toc15944"/>
    </w:p>
    <w:p w14:paraId="26A1E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一、耕地地力保护补贴</w:t>
      </w:r>
      <w:bookmarkEnd w:id="1"/>
    </w:p>
    <w:p w14:paraId="59B77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2CEB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2．政策类型：粮油、农田建设。</w:t>
      </w:r>
    </w:p>
    <w:p w14:paraId="28FA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3．政策名称：耕地地力保护补贴。</w:t>
      </w:r>
    </w:p>
    <w:p w14:paraId="0A49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69733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5．支持对象：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农户（个人）。</w:t>
      </w:r>
    </w:p>
    <w:p w14:paraId="23ECA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6．支持内容：通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过补贴发放的形式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调动农民群众自觉保护耕地、提升地力的积极性和主动性。</w:t>
      </w:r>
    </w:p>
    <w:p w14:paraId="25986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7．补助补贴标准：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</w:rPr>
        <w:t>县级根据年度资金总额和补贴面积统筹确定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eastAsia="zh-CN"/>
        </w:rPr>
        <w:t>。</w:t>
      </w:r>
    </w:p>
    <w:p w14:paraId="075F0D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8．申报条件：原则上拥有耕地承包权的种地农民，做到耕地不撂荒，地力不降低，均可申领补贴。对已作为畜牧养殖场使用的耕地、林地、草地、成片粮田转为设施农业用地的耕地、非农征（占）用耕地等已改变用途的耕地，以及占补平衡中</w:t>
      </w:r>
      <w:r>
        <w:rPr>
          <w:rFonts w:hint="default" w:ascii="方正仿宋_GBK" w:hAnsi="方正仿宋_GBK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补</w:t>
      </w:r>
      <w:r>
        <w:rPr>
          <w:rFonts w:hint="default" w:ascii="方正仿宋_GBK" w:hAnsi="方正仿宋_GBK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的面积和质量达不到耕种条件的耕地不得给予补贴，对抛荒一年以上的，取消次年补贴资格。</w:t>
      </w:r>
    </w:p>
    <w:p w14:paraId="5556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9．申报程序：村登记造册，乡镇审核，县级复核确认。</w:t>
      </w:r>
    </w:p>
    <w:p w14:paraId="64ED55C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br w:type="page"/>
      </w:r>
      <w:bookmarkStart w:id="2" w:name="_Toc5671"/>
      <w:r>
        <w:rPr>
          <w:rFonts w:hint="eastAsia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 xml:space="preserve">   二、高标准农田建设</w:t>
      </w:r>
      <w:bookmarkEnd w:id="2"/>
    </w:p>
    <w:p w14:paraId="2A78B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026B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2．政策类型：农田建设。</w:t>
      </w:r>
    </w:p>
    <w:p w14:paraId="2B26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3．政策名称：高标准农田建设项目。</w:t>
      </w:r>
    </w:p>
    <w:p w14:paraId="2712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20F9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5．支持对象：承担高标准农田建设任务的县（市、区）农业农村部门。</w:t>
      </w:r>
    </w:p>
    <w:p w14:paraId="20A05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6．支持内容：主要用于新建和改造提升高标准农田，支持实施田（地）块整治、灌溉与排水、田间道路、农田防护及生态环境保持、农田输配电和农田地力提升等工程内容。</w:t>
      </w:r>
    </w:p>
    <w:p w14:paraId="1BB30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7．补助补贴标准：中央财政补助资金支持的农田建设任务，按照新建每亩2645元、改造提升每亩2200元标准补助；超长期特别国债支持的农田建设项目，按照新建每亩2400元、改造提升每亩2200元标准补助。新建高标准农田中央和省市县四级财政实际投入合计不低于每亩3000元标准，市、县逐步提高改造提升投入水平的标准。</w:t>
      </w:r>
    </w:p>
    <w:p w14:paraId="155B2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8．申报条件：符合农田建设规划，永久基本农田有剩余建设空间的县（市、区）可申报中央财政补助资金支持建设的项目，2025年重点支持国家乡村振兴重点帮扶县、整区域推进县、部分产粮大县和灾毁地区农田恢复重建；46个粮食产能提升重点县可申报超长期特别国债项目资金重点支持。积极探索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建运管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一体化试点，鼓励通过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先建后补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以奖代补</w:t>
      </w:r>
      <w:r>
        <w:rPr>
          <w:rFonts w:hint="default" w:ascii="方正仿宋_GBK" w:hAnsi="方正仿宋_GBK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等方式，引导村集体经济组织、新型农业经营主体、农民群众等积极参与高标准农田建设。</w:t>
      </w:r>
    </w:p>
    <w:p w14:paraId="027F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9．申报程序：县级农业农村部门提前谋划本区域高标准农田建设项目，编制储备项目实施方案或初步设计方案，对符合入库要求的项目及时纳入县级储备库，并报市级农业农村部门汇总；市级农业农村部门组织相关部门和专家进行论证、审批，择优向农业农村厅推荐储备项目。省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u w:val="none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u w:val="none"/>
        </w:rPr>
        <w:t>竞争立项方式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u w:val="none"/>
          <w:lang w:eastAsia="zh-CN"/>
        </w:rPr>
        <w:t>和程序，确定年度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中央财政补助资金支持建设的项目；择优向国家推送超长期特别国债项目。</w:t>
      </w:r>
    </w:p>
    <w:p w14:paraId="7A9E5DB8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92D54E2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4FD16E9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1D5298F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D9FC87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1E743F4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B506156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C707EF3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CC91D53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05F3811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1CF3679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CEA08AE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85A652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F361B7B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848D7D2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8FBBBE0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A976764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C371926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91182C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EE10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3" w:name="_Toc823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三、耕地轮作</w:t>
      </w:r>
      <w:bookmarkEnd w:id="3"/>
    </w:p>
    <w:p w14:paraId="1B89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3CD06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2．政策类型：粮油。</w:t>
      </w:r>
    </w:p>
    <w:p w14:paraId="28AC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3．政策名称：耕地轮作。</w:t>
      </w:r>
    </w:p>
    <w:p w14:paraId="54F7D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7E91A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5．支持对象：合作社、家庭农场、农业企业、农户（个人）、社会化服务组织、村集体经济组织。</w:t>
      </w:r>
    </w:p>
    <w:p w14:paraId="598E7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6．支持内容：通过现金直补、社会化服务或购买物资等方式，支持种植主体采取玉米-油菜、水稻-油菜、油菜-花生、小麦-花生等轮作模式，林下套种花生等途径，稳定油菜、扩大花生等油料面积。</w:t>
      </w:r>
    </w:p>
    <w:p w14:paraId="7152C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7．补助补贴标准：省级按照每亩150元的标准测算。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762A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8．申报条件（实施区域）：承担轮作种植油菜、花生的县（市、区）。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0F7A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9．申报程序（实施流程）：省级根据油菜种植面积和花生扩种任务将资金分配到各县（市、区）。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实施主体的具体申报程序由项目县农业农村部门确定。</w:t>
      </w:r>
    </w:p>
    <w:p w14:paraId="61D668E3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54479E4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A86511A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3695AD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F6DD208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C17D51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205364B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2AF6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4" w:name="_Toc25007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四、科学施肥增效</w:t>
      </w:r>
      <w:bookmarkEnd w:id="4"/>
    </w:p>
    <w:p w14:paraId="1B45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1．政策级别：中央。</w:t>
      </w:r>
    </w:p>
    <w:p w14:paraId="4474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2．政策类型：粮油、特色农产品、农业社会化服务。</w:t>
      </w:r>
    </w:p>
    <w:p w14:paraId="6828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3．政策名称：科学施肥增效。</w:t>
      </w:r>
    </w:p>
    <w:p w14:paraId="27BE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4．年度：2025年。</w:t>
      </w:r>
    </w:p>
    <w:p w14:paraId="72528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5．支持对象：合作社、家庭农场、农业企业、农户（个人）、社会化服务组织、其他。</w:t>
      </w:r>
    </w:p>
    <w:p w14:paraId="573D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6．支持内容：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主要用于测土配方施肥基础工作、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三新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千亩方万亩片建设、试验监测、宣传培训等工作，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对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三新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集成配套示范过程中需要的产品、服务作业（或按技术落实面积）给予适当补贴，引导种植主体科学施肥。</w:t>
      </w:r>
    </w:p>
    <w:p w14:paraId="33FA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7．补助补贴标准：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56F2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8．申报条件：县域产业基础好、优势突出、集中连片、具有较好的示范带动能力，当地政府支持力度大、推广体系健全、农机化和社会化服务水平较高，近两年落实国家和省相关项目组织保障到位，工作措施有力，资金使用管理规范，任务完成好的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13B75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9．申报程序：省级根据农户施肥量调查任务数、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三新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集成配套推进县、绩效评价、脱贫人口、粮经果茶种植面积等因素将资金分配到各县（市、区）。实施主体的具体申报程序由项目县农业农村部门确定。</w:t>
      </w:r>
    </w:p>
    <w:p w14:paraId="7ECD67A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50CA39"/>
    <w:rsid w:val="3FF963A3"/>
    <w:rsid w:val="4E50CA39"/>
    <w:rsid w:val="58D1463C"/>
    <w:rsid w:val="5AF6DA19"/>
    <w:rsid w:val="6DBE308B"/>
    <w:rsid w:val="B9876856"/>
    <w:rsid w:val="BFFF59F0"/>
    <w:rsid w:val="EDE76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1832</Words>
  <Characters>1865</Characters>
  <Lines>0</Lines>
  <Paragraphs>0</Paragraphs>
  <TotalTime>2.66666666666667</TotalTime>
  <ScaleCrop>false</ScaleCrop>
  <LinksUpToDate>false</LinksUpToDate>
  <CharactersWithSpaces>1869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2025-09-27T05:11:00Z</dcterms:created>
  <dc:creator>胡彦均</dc:creator>
  <cp:lastModifiedBy>WPS_1638108158</cp:lastModifiedBy>
  <dcterms:modified xsi:type="dcterms:W3CDTF">2025-09-26T08:31:20Z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2FED7A24BF964171AA551559B2A17A63_13</vt:lpwstr>
  </property>
</Properties>
</file>