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620" w:lineRule="exact"/>
        <w:ind w:left="0" w:leftChars="0"/>
        <w:jc w:val="both"/>
        <w:textAlignment w:val="auto"/>
        <w:outlineLvl w:val="9"/>
        <w:rPr>
          <w:rFonts w:hint="eastAsia" w:ascii="黑体" w:hAnsi="黑体" w:eastAsia="黑体" w:cs="黑体"/>
          <w:color w:val="000000"/>
          <w:spacing w:val="0"/>
          <w:kern w:val="21"/>
          <w:sz w:val="32"/>
          <w:szCs w:val="32"/>
          <w:lang w:val="en-US" w:eastAsia="zh-CN"/>
        </w:rPr>
      </w:pPr>
      <w:r>
        <w:rPr>
          <w:rFonts w:hint="eastAsia" w:ascii="黑体" w:hAnsi="黑体" w:eastAsia="黑体" w:cs="黑体"/>
          <w:color w:val="000000"/>
          <w:spacing w:val="0"/>
          <w:kern w:val="21"/>
          <w:sz w:val="32"/>
          <w:szCs w:val="32"/>
          <w:lang w:val="en-US" w:eastAsia="zh-CN"/>
        </w:rPr>
        <w:t>附件2</w:t>
      </w:r>
      <w:bookmarkStart w:id="0" w:name="_GoBack"/>
      <w:bookmarkEnd w:id="0"/>
    </w:p>
    <w:p>
      <w:pPr>
        <w:pStyle w:val="2"/>
        <w:keepNext w:val="0"/>
        <w:keepLines w:val="0"/>
        <w:pageBreakBefore w:val="0"/>
        <w:widowControl w:val="0"/>
        <w:kinsoku/>
        <w:wordWrap/>
        <w:topLinePunct w:val="0"/>
        <w:autoSpaceDE/>
        <w:autoSpaceDN/>
        <w:bidi w:val="0"/>
        <w:adjustRightInd/>
        <w:snapToGrid w:val="0"/>
        <w:spacing w:after="0" w:line="620" w:lineRule="exact"/>
        <w:textAlignment w:val="auto"/>
        <w:outlineLvl w:val="9"/>
        <w:rPr>
          <w:rFonts w:hint="eastAsia"/>
          <w:sz w:val="32"/>
          <w:szCs w:val="32"/>
          <w:lang w:val="en-US" w:eastAsia="zh-CN"/>
        </w:rPr>
      </w:pP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val="0"/>
          <w:spacing w:val="0"/>
          <w:kern w:val="21"/>
          <w:sz w:val="44"/>
          <w:szCs w:val="44"/>
        </w:rPr>
      </w:pPr>
      <w:r>
        <w:rPr>
          <w:rFonts w:hint="eastAsia" w:ascii="方正小标宋简体" w:hAnsi="方正小标宋简体" w:eastAsia="方正小标宋简体" w:cs="方正小标宋简体"/>
          <w:b w:val="0"/>
          <w:bCs w:val="0"/>
          <w:spacing w:val="0"/>
          <w:kern w:val="21"/>
          <w:sz w:val="44"/>
          <w:szCs w:val="44"/>
          <w:lang w:val="en-US" w:eastAsia="zh-CN"/>
        </w:rPr>
        <w:t>四川省</w:t>
      </w:r>
      <w:r>
        <w:rPr>
          <w:rFonts w:hint="eastAsia" w:ascii="方正小标宋简体" w:hAnsi="方正小标宋简体" w:eastAsia="方正小标宋简体" w:cs="方正小标宋简体"/>
          <w:b w:val="0"/>
          <w:bCs w:val="0"/>
          <w:spacing w:val="0"/>
          <w:kern w:val="21"/>
          <w:sz w:val="44"/>
          <w:szCs w:val="44"/>
        </w:rPr>
        <w:t>2021年</w:t>
      </w:r>
      <w:r>
        <w:rPr>
          <w:rFonts w:hint="eastAsia" w:ascii="方正小标宋简体" w:hAnsi="方正小标宋简体" w:eastAsia="方正小标宋简体" w:cs="方正小标宋简体"/>
          <w:b w:val="0"/>
          <w:bCs w:val="0"/>
          <w:spacing w:val="0"/>
          <w:kern w:val="21"/>
          <w:sz w:val="44"/>
          <w:szCs w:val="44"/>
          <w:lang w:eastAsia="zh-CN"/>
        </w:rPr>
        <w:t>推进</w:t>
      </w:r>
      <w:r>
        <w:rPr>
          <w:rFonts w:hint="eastAsia" w:ascii="方正小标宋简体" w:hAnsi="方正小标宋简体" w:eastAsia="方正小标宋简体" w:cs="方正小标宋简体"/>
          <w:b w:val="0"/>
          <w:bCs w:val="0"/>
          <w:spacing w:val="0"/>
          <w:kern w:val="21"/>
          <w:sz w:val="44"/>
          <w:szCs w:val="44"/>
        </w:rPr>
        <w:t>农药减量化工作要点</w:t>
      </w:r>
    </w:p>
    <w:p>
      <w:pPr>
        <w:pStyle w:val="2"/>
        <w:keepNext w:val="0"/>
        <w:keepLines w:val="0"/>
        <w:pageBreakBefore w:val="0"/>
        <w:widowControl w:val="0"/>
        <w:kinsoku/>
        <w:wordWrap/>
        <w:topLinePunct w:val="0"/>
        <w:autoSpaceDE/>
        <w:autoSpaceDN/>
        <w:bidi w:val="0"/>
        <w:adjustRightInd/>
        <w:snapToGrid w:val="0"/>
        <w:spacing w:after="0" w:line="620" w:lineRule="exact"/>
        <w:textAlignment w:val="auto"/>
        <w:outlineLvl w:val="9"/>
        <w:rPr>
          <w:rFonts w:hint="eastAsia"/>
          <w:sz w:val="32"/>
          <w:szCs w:val="32"/>
        </w:rPr>
      </w:pP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rPr>
      </w:pPr>
      <w:r>
        <w:rPr>
          <w:rFonts w:hint="eastAsia" w:ascii="仿宋_GB2312" w:hAnsi="仿宋_GB2312" w:eastAsia="仿宋_GB2312" w:cs="仿宋_GB2312"/>
          <w:spacing w:val="0"/>
          <w:kern w:val="21"/>
          <w:sz w:val="32"/>
          <w:szCs w:val="32"/>
        </w:rPr>
        <w:t>2021年推进农药减量化工作</w:t>
      </w:r>
      <w:r>
        <w:rPr>
          <w:rFonts w:hint="eastAsia" w:ascii="仿宋_GB2312" w:hAnsi="仿宋_GB2312" w:eastAsia="仿宋_GB2312" w:cs="仿宋_GB2312"/>
          <w:spacing w:val="0"/>
          <w:kern w:val="21"/>
          <w:sz w:val="32"/>
          <w:szCs w:val="32"/>
          <w:lang w:val="en-US" w:eastAsia="zh-CN"/>
        </w:rPr>
        <w:t>要认真践行绿色发展理念，</w:t>
      </w:r>
      <w:r>
        <w:rPr>
          <w:rFonts w:hint="eastAsia" w:ascii="仿宋_GB2312" w:hAnsi="仿宋_GB2312" w:eastAsia="仿宋_GB2312" w:cs="仿宋_GB2312"/>
          <w:b w:val="0"/>
          <w:bCs w:val="0"/>
          <w:spacing w:val="0"/>
          <w:kern w:val="21"/>
          <w:sz w:val="32"/>
          <w:szCs w:val="32"/>
          <w:lang w:val="en-US" w:eastAsia="zh-CN"/>
        </w:rPr>
        <w:t>按照绿色兴农、质量兴农、品牌强农的总体要求，紧紧围绕乡村振兴战略和</w:t>
      </w:r>
      <w:r>
        <w:rPr>
          <w:rFonts w:hint="eastAsia" w:ascii="仿宋_GB2312" w:hAnsi="仿宋_GB2312" w:eastAsia="仿宋_GB2312" w:cs="仿宋_GB2312"/>
          <w:b w:val="0"/>
          <w:bCs w:val="0"/>
          <w:spacing w:val="0"/>
          <w:kern w:val="21"/>
          <w:sz w:val="32"/>
          <w:szCs w:val="32"/>
        </w:rPr>
        <w:t>现代农业</w:t>
      </w:r>
      <w:r>
        <w:rPr>
          <w:rFonts w:hint="eastAsia" w:ascii="仿宋_GB2312" w:hAnsi="仿宋_GB2312" w:eastAsia="仿宋_GB2312" w:cs="仿宋_GB2312"/>
          <w:b w:val="0"/>
          <w:bCs w:val="0"/>
          <w:spacing w:val="0"/>
          <w:kern w:val="21"/>
          <w:sz w:val="32"/>
          <w:szCs w:val="32"/>
          <w:lang w:eastAsia="zh-CN"/>
        </w:rPr>
        <w:t>“</w:t>
      </w:r>
      <w:r>
        <w:rPr>
          <w:rFonts w:hint="eastAsia" w:ascii="仿宋_GB2312" w:hAnsi="仿宋_GB2312" w:eastAsia="仿宋_GB2312" w:cs="仿宋_GB2312"/>
          <w:b w:val="0"/>
          <w:bCs w:val="0"/>
          <w:spacing w:val="0"/>
          <w:kern w:val="21"/>
          <w:sz w:val="32"/>
          <w:szCs w:val="32"/>
          <w:lang w:val="en-US" w:eastAsia="zh-CN"/>
        </w:rPr>
        <w:t>10+3”产业体系建设</w:t>
      </w:r>
      <w:r>
        <w:rPr>
          <w:rFonts w:hint="eastAsia" w:ascii="仿宋_GB2312" w:hAnsi="仿宋_GB2312" w:eastAsia="仿宋_GB2312" w:cs="仿宋_GB2312"/>
          <w:b w:val="0"/>
          <w:bCs w:val="0"/>
          <w:spacing w:val="0"/>
          <w:kern w:val="21"/>
          <w:sz w:val="32"/>
          <w:szCs w:val="32"/>
        </w:rPr>
        <w:t>，在</w:t>
      </w:r>
      <w:r>
        <w:rPr>
          <w:rFonts w:hint="eastAsia" w:ascii="仿宋_GB2312" w:hAnsi="仿宋_GB2312" w:eastAsia="仿宋_GB2312" w:cs="仿宋_GB2312"/>
          <w:b w:val="0"/>
          <w:bCs w:val="0"/>
          <w:spacing w:val="0"/>
          <w:kern w:val="21"/>
          <w:sz w:val="32"/>
          <w:szCs w:val="32"/>
          <w:lang w:val="en-US" w:eastAsia="zh-CN"/>
        </w:rPr>
        <w:t>确保</w:t>
      </w:r>
      <w:r>
        <w:rPr>
          <w:rFonts w:hint="eastAsia" w:ascii="仿宋_GB2312" w:hAnsi="仿宋_GB2312" w:eastAsia="仿宋_GB2312" w:cs="仿宋_GB2312"/>
          <w:b w:val="0"/>
          <w:bCs w:val="0"/>
          <w:spacing w:val="0"/>
          <w:kern w:val="21"/>
          <w:sz w:val="32"/>
          <w:szCs w:val="32"/>
        </w:rPr>
        <w:t>粮食安全的前提下，</w:t>
      </w:r>
      <w:r>
        <w:rPr>
          <w:rFonts w:hint="eastAsia" w:ascii="仿宋_GB2312" w:hAnsi="仿宋_GB2312" w:eastAsia="仿宋_GB2312" w:cs="仿宋_GB2312"/>
          <w:b w:val="0"/>
          <w:bCs w:val="0"/>
          <w:spacing w:val="0"/>
          <w:kern w:val="21"/>
          <w:sz w:val="32"/>
          <w:szCs w:val="32"/>
          <w:lang w:val="en-US" w:eastAsia="zh-CN"/>
        </w:rPr>
        <w:t>大力推广农药减量增效技术，</w:t>
      </w:r>
      <w:r>
        <w:rPr>
          <w:rFonts w:hint="eastAsia" w:ascii="仿宋_GB2312" w:hAnsi="仿宋_GB2312" w:eastAsia="仿宋_GB2312" w:cs="仿宋_GB2312"/>
          <w:b w:val="0"/>
          <w:bCs w:val="0"/>
          <w:spacing w:val="0"/>
          <w:kern w:val="21"/>
          <w:sz w:val="32"/>
          <w:szCs w:val="32"/>
          <w:highlight w:val="none"/>
          <w:lang w:val="en-US" w:eastAsia="zh-CN"/>
        </w:rPr>
        <w:t>切实加强科学用药培训指导</w:t>
      </w:r>
      <w:r>
        <w:rPr>
          <w:rFonts w:hint="eastAsia" w:ascii="仿宋_GB2312" w:hAnsi="仿宋_GB2312" w:eastAsia="仿宋_GB2312" w:cs="仿宋_GB2312"/>
          <w:b w:val="0"/>
          <w:bCs w:val="0"/>
          <w:spacing w:val="0"/>
          <w:kern w:val="21"/>
          <w:sz w:val="32"/>
          <w:szCs w:val="32"/>
          <w:highlight w:val="none"/>
          <w:lang w:eastAsia="zh-CN"/>
        </w:rPr>
        <w:t>，</w:t>
      </w:r>
      <w:r>
        <w:rPr>
          <w:rFonts w:hint="eastAsia" w:ascii="仿宋_GB2312" w:hAnsi="仿宋_GB2312" w:eastAsia="仿宋_GB2312" w:cs="仿宋_GB2312"/>
          <w:b w:val="0"/>
          <w:bCs w:val="0"/>
          <w:spacing w:val="0"/>
          <w:kern w:val="21"/>
          <w:sz w:val="32"/>
          <w:szCs w:val="32"/>
          <w:highlight w:val="none"/>
          <w:lang w:val="en-US" w:eastAsia="zh-CN"/>
        </w:rPr>
        <w:t>保障农产品质量安全，助推农业绿色高质量发展</w:t>
      </w:r>
      <w:r>
        <w:rPr>
          <w:rFonts w:hint="eastAsia" w:ascii="仿宋_GB2312" w:hAnsi="仿宋_GB2312" w:eastAsia="仿宋_GB2312" w:cs="仿宋_GB2312"/>
          <w:spacing w:val="0"/>
          <w:kern w:val="21"/>
          <w:sz w:val="32"/>
          <w:szCs w:val="32"/>
          <w:highlight w:val="none"/>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highlight w:val="none"/>
          <w:lang w:val="en-US" w:eastAsia="zh-CN"/>
        </w:rPr>
      </w:pPr>
      <w:r>
        <w:rPr>
          <w:rFonts w:hint="eastAsia" w:ascii="黑体" w:hAnsi="黑体" w:eastAsia="黑体" w:cs="黑体"/>
          <w:b w:val="0"/>
          <w:bCs w:val="0"/>
          <w:spacing w:val="0"/>
          <w:kern w:val="21"/>
          <w:sz w:val="32"/>
          <w:szCs w:val="32"/>
          <w:highlight w:val="none"/>
          <w:lang w:val="en-US" w:eastAsia="zh-CN"/>
        </w:rPr>
        <w:t>一、实施“百县千乡万户”农药科学安全使用培训行动，提高科学安全用药水平。</w:t>
      </w:r>
      <w:r>
        <w:rPr>
          <w:rFonts w:hint="eastAsia" w:ascii="仿宋_GB2312" w:hAnsi="仿宋_GB2312" w:eastAsia="仿宋_GB2312" w:cs="仿宋_GB2312"/>
          <w:spacing w:val="0"/>
          <w:kern w:val="21"/>
          <w:sz w:val="32"/>
          <w:szCs w:val="32"/>
          <w:highlight w:val="none"/>
          <w:lang w:val="en-US" w:eastAsia="zh-CN"/>
        </w:rPr>
        <w:t>制定印发《四川省2021-2025年农药科学安全使用指导意见》。全面实施“百县千乡万户”农药科学安全使用培训行动。在135个县，以</w:t>
      </w:r>
      <w:r>
        <w:rPr>
          <w:rFonts w:hint="eastAsia" w:ascii="仿宋_GB2312" w:hAnsi="仿宋_GB2312" w:eastAsia="仿宋_GB2312" w:cs="仿宋_GB2312"/>
          <w:bCs/>
          <w:color w:val="auto"/>
          <w:spacing w:val="0"/>
          <w:kern w:val="21"/>
          <w:sz w:val="32"/>
          <w:szCs w:val="32"/>
          <w:highlight w:val="none"/>
        </w:rPr>
        <w:t>果菜茶</w:t>
      </w:r>
      <w:r>
        <w:rPr>
          <w:rFonts w:hint="eastAsia" w:ascii="仿宋_GB2312" w:hAnsi="仿宋_GB2312" w:eastAsia="仿宋_GB2312" w:cs="仿宋_GB2312"/>
          <w:bCs/>
          <w:color w:val="auto"/>
          <w:spacing w:val="0"/>
          <w:kern w:val="21"/>
          <w:sz w:val="32"/>
          <w:szCs w:val="32"/>
          <w:highlight w:val="none"/>
          <w:lang w:eastAsia="zh-CN"/>
        </w:rPr>
        <w:t>优势区</w:t>
      </w:r>
      <w:r>
        <w:rPr>
          <w:rFonts w:hint="eastAsia" w:ascii="仿宋_GB2312" w:hAnsi="仿宋_GB2312" w:eastAsia="仿宋_GB2312" w:cs="仿宋_GB2312"/>
          <w:bCs/>
          <w:color w:val="auto"/>
          <w:spacing w:val="0"/>
          <w:kern w:val="21"/>
          <w:sz w:val="32"/>
          <w:szCs w:val="32"/>
          <w:highlight w:val="none"/>
        </w:rPr>
        <w:t>和粮食</w:t>
      </w:r>
      <w:r>
        <w:rPr>
          <w:rFonts w:hint="eastAsia" w:ascii="仿宋_GB2312" w:hAnsi="仿宋_GB2312" w:eastAsia="仿宋_GB2312" w:cs="仿宋_GB2312"/>
          <w:bCs/>
          <w:color w:val="auto"/>
          <w:spacing w:val="0"/>
          <w:kern w:val="21"/>
          <w:sz w:val="32"/>
          <w:szCs w:val="32"/>
          <w:highlight w:val="none"/>
          <w:lang w:eastAsia="zh-CN"/>
        </w:rPr>
        <w:t>主产县</w:t>
      </w:r>
      <w:r>
        <w:rPr>
          <w:rFonts w:hint="eastAsia" w:ascii="仿宋_GB2312" w:hAnsi="仿宋_GB2312" w:eastAsia="仿宋_GB2312" w:cs="仿宋_GB2312"/>
          <w:bCs/>
          <w:color w:val="auto"/>
          <w:spacing w:val="0"/>
          <w:kern w:val="21"/>
          <w:sz w:val="32"/>
          <w:szCs w:val="32"/>
          <w:highlight w:val="none"/>
        </w:rPr>
        <w:t>为</w:t>
      </w:r>
      <w:r>
        <w:rPr>
          <w:rFonts w:hint="eastAsia" w:ascii="仿宋_GB2312" w:hAnsi="仿宋_GB2312" w:eastAsia="仿宋_GB2312" w:cs="仿宋_GB2312"/>
          <w:bCs/>
          <w:color w:val="auto"/>
          <w:spacing w:val="0"/>
          <w:kern w:val="21"/>
          <w:sz w:val="32"/>
          <w:szCs w:val="32"/>
          <w:highlight w:val="none"/>
          <w:lang w:eastAsia="zh-CN"/>
        </w:rPr>
        <w:t>重点，</w:t>
      </w:r>
      <w:r>
        <w:rPr>
          <w:rFonts w:hint="eastAsia" w:ascii="仿宋_GB2312" w:hAnsi="仿宋_GB2312" w:eastAsia="仿宋_GB2312" w:cs="仿宋_GB2312"/>
          <w:color w:val="auto"/>
          <w:spacing w:val="0"/>
          <w:kern w:val="21"/>
          <w:sz w:val="32"/>
          <w:szCs w:val="32"/>
          <w:highlight w:val="none"/>
          <w:lang w:val="en-US" w:eastAsia="zh-CN"/>
        </w:rPr>
        <w:t>开展</w:t>
      </w:r>
      <w:r>
        <w:rPr>
          <w:rFonts w:hint="eastAsia" w:ascii="仿宋_GB2312" w:hAnsi="仿宋_GB2312" w:eastAsia="仿宋_GB2312" w:cs="仿宋_GB2312"/>
          <w:spacing w:val="0"/>
          <w:kern w:val="21"/>
          <w:sz w:val="32"/>
          <w:szCs w:val="32"/>
          <w:highlight w:val="none"/>
          <w:lang w:val="en-US" w:eastAsia="zh-CN"/>
        </w:rPr>
        <w:t>省级专场培训215期，培训种植大户、专业化防治服务组织技术骨干和农民带头人1万人次以上，带动市（州）培训4000场，培训50万人次以上。</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highlight w:val="none"/>
          <w:lang w:val="en-US" w:eastAsia="zh-CN"/>
        </w:rPr>
      </w:pPr>
      <w:r>
        <w:rPr>
          <w:rFonts w:hint="eastAsia" w:ascii="黑体" w:hAnsi="黑体" w:eastAsia="黑体" w:cs="黑体"/>
          <w:b w:val="0"/>
          <w:bCs w:val="0"/>
          <w:spacing w:val="0"/>
          <w:kern w:val="21"/>
          <w:sz w:val="32"/>
          <w:szCs w:val="32"/>
          <w:highlight w:val="none"/>
          <w:lang w:val="en-US" w:eastAsia="zh-CN"/>
        </w:rPr>
        <w:t>二、推广高效低风险农药和绿色农药，优化农药品种结构。</w:t>
      </w:r>
      <w:r>
        <w:rPr>
          <w:rFonts w:hint="eastAsia" w:ascii="仿宋_GB2312" w:hAnsi="仿宋_GB2312" w:eastAsia="仿宋_GB2312" w:cs="仿宋_GB2312"/>
          <w:spacing w:val="0"/>
          <w:kern w:val="21"/>
          <w:sz w:val="32"/>
          <w:szCs w:val="32"/>
          <w:lang w:val="en-US" w:eastAsia="zh-CN"/>
        </w:rPr>
        <w:t>实施生物农药替代化学农药行动，鼓励专业化防治组织开展病虫害统防统治，优先使用生物农药。</w:t>
      </w:r>
      <w:r>
        <w:rPr>
          <w:rFonts w:hint="eastAsia" w:ascii="仿宋_GB2312" w:hAnsi="仿宋_GB2312" w:eastAsia="仿宋_GB2312" w:cs="仿宋_GB2312"/>
          <w:spacing w:val="0"/>
          <w:kern w:val="21"/>
          <w:sz w:val="32"/>
          <w:szCs w:val="32"/>
          <w:highlight w:val="none"/>
          <w:lang w:val="en-US" w:eastAsia="zh-CN"/>
        </w:rPr>
        <w:t>在水稻、玉米等粮食作物和柑橘、芒果等经济作物上开展绿色农药试验示范，力争全省高效低风险农药品种使用比例达70%以上。</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b w:val="0"/>
          <w:bCs w:val="0"/>
          <w:spacing w:val="0"/>
          <w:kern w:val="21"/>
          <w:sz w:val="32"/>
          <w:szCs w:val="32"/>
          <w:lang w:val="en-US" w:eastAsia="zh-CN"/>
        </w:rPr>
      </w:pPr>
      <w:r>
        <w:rPr>
          <w:rFonts w:hint="eastAsia" w:ascii="黑体" w:hAnsi="黑体" w:eastAsia="黑体" w:cs="黑体"/>
          <w:b w:val="0"/>
          <w:bCs w:val="0"/>
          <w:spacing w:val="0"/>
          <w:kern w:val="21"/>
          <w:sz w:val="32"/>
          <w:szCs w:val="32"/>
          <w:highlight w:val="none"/>
          <w:lang w:val="en-US" w:eastAsia="zh-CN"/>
        </w:rPr>
        <w:t>三、推进高效植保机械更新换代，切实提高农药利用率。</w:t>
      </w:r>
      <w:r>
        <w:rPr>
          <w:rFonts w:hint="eastAsia" w:ascii="仿宋_GB2312" w:hAnsi="仿宋_GB2312" w:eastAsia="仿宋_GB2312" w:cs="仿宋_GB2312"/>
          <w:b w:val="0"/>
          <w:bCs w:val="0"/>
          <w:spacing w:val="0"/>
          <w:kern w:val="21"/>
          <w:sz w:val="32"/>
          <w:szCs w:val="32"/>
          <w:lang w:val="en-US" w:eastAsia="zh-CN"/>
        </w:rPr>
        <w:t>用足农机购置补贴政策，鼓励</w:t>
      </w:r>
      <w:r>
        <w:rPr>
          <w:rFonts w:hint="eastAsia" w:ascii="仿宋_GB2312" w:hAnsi="仿宋_GB2312" w:eastAsia="仿宋_GB2312" w:cs="仿宋_GB2312"/>
          <w:spacing w:val="0"/>
          <w:kern w:val="21"/>
          <w:sz w:val="32"/>
          <w:szCs w:val="32"/>
          <w:lang w:val="en-US" w:eastAsia="zh-CN"/>
        </w:rPr>
        <w:t>专业化防治组织购置以植保无人机为主的新型高效植保机械</w:t>
      </w:r>
      <w:r>
        <w:rPr>
          <w:rFonts w:hint="eastAsia" w:ascii="仿宋_GB2312" w:hAnsi="仿宋_GB2312" w:eastAsia="仿宋_GB2312" w:cs="仿宋_GB2312"/>
          <w:spacing w:val="0"/>
          <w:kern w:val="21"/>
          <w:sz w:val="32"/>
          <w:szCs w:val="32"/>
          <w:highlight w:val="none"/>
          <w:lang w:val="en-US" w:eastAsia="zh-CN"/>
        </w:rPr>
        <w:t>。加强植保无人机防治农作物病虫害作业技术指导及</w:t>
      </w:r>
      <w:r>
        <w:rPr>
          <w:rFonts w:hint="eastAsia" w:ascii="仿宋_GB2312" w:hAnsi="仿宋_GB2312" w:eastAsia="仿宋_GB2312" w:cs="仿宋_GB2312"/>
          <w:spacing w:val="0"/>
          <w:kern w:val="21"/>
          <w:sz w:val="32"/>
          <w:szCs w:val="32"/>
          <w:lang w:val="en-US" w:eastAsia="zh-CN"/>
        </w:rPr>
        <w:t>机</w:t>
      </w:r>
      <w:r>
        <w:rPr>
          <w:rFonts w:hint="eastAsia" w:ascii="仿宋_GB2312" w:hAnsi="仿宋_GB2312" w:eastAsia="仿宋_GB2312" w:cs="仿宋_GB2312"/>
          <w:spacing w:val="0"/>
          <w:kern w:val="21"/>
          <w:sz w:val="32"/>
          <w:szCs w:val="32"/>
          <w:highlight w:val="none"/>
          <w:lang w:val="en-US" w:eastAsia="zh-CN"/>
        </w:rPr>
        <w:t>手培训，</w:t>
      </w:r>
      <w:r>
        <w:rPr>
          <w:rFonts w:hint="eastAsia" w:ascii="仿宋_GB2312" w:hAnsi="仿宋_GB2312" w:eastAsia="仿宋_GB2312" w:cs="仿宋_GB2312"/>
          <w:spacing w:val="0"/>
          <w:kern w:val="21"/>
          <w:sz w:val="32"/>
          <w:szCs w:val="32"/>
          <w:lang w:val="en-US" w:eastAsia="zh-CN"/>
        </w:rPr>
        <w:t>开展植保无人机作业质量评估及飞行参数校验试验。推行专</w:t>
      </w:r>
      <w:r>
        <w:rPr>
          <w:rFonts w:hint="eastAsia" w:ascii="仿宋_GB2312" w:hAnsi="仿宋_GB2312" w:eastAsia="仿宋_GB2312" w:cs="仿宋_GB2312"/>
          <w:b w:val="0"/>
          <w:bCs w:val="0"/>
          <w:spacing w:val="0"/>
          <w:kern w:val="21"/>
          <w:sz w:val="32"/>
          <w:szCs w:val="32"/>
          <w:lang w:val="en-US" w:eastAsia="zh-CN"/>
        </w:rPr>
        <w:t>业化统防统治服务，带动小农户选择使用电动喷雾器、静电喷雾器，切实提高农药利用率。</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黑体" w:hAnsi="黑体" w:eastAsia="黑体" w:cs="黑体"/>
          <w:b w:val="0"/>
          <w:bCs w:val="0"/>
          <w:spacing w:val="0"/>
          <w:kern w:val="21"/>
          <w:sz w:val="32"/>
          <w:szCs w:val="32"/>
          <w:highlight w:val="none"/>
          <w:lang w:val="en-US" w:eastAsia="zh-CN"/>
        </w:rPr>
        <w:t>四、加大农药减量增效技术推广力度，有效推进农药减量化。</w:t>
      </w:r>
      <w:r>
        <w:rPr>
          <w:rFonts w:hint="eastAsia" w:ascii="仿宋_GB2312" w:hAnsi="仿宋_GB2312" w:eastAsia="仿宋_GB2312" w:cs="仿宋_GB2312"/>
          <w:spacing w:val="0"/>
          <w:kern w:val="21"/>
          <w:sz w:val="32"/>
          <w:szCs w:val="32"/>
          <w:lang w:val="en-US" w:eastAsia="zh-CN"/>
        </w:rPr>
        <w:t>通过现场示范、培训、指导等方式，大力推广带药移栽、种子包衣等农药减量增效技术，实现小麦条锈病核心越夏区和冬繁区药剂拌种全覆盖、油菜根肿病重发区种子包衣全覆盖以及水稻主产区带药移栽全覆盖。开展杂草绿色安全防除技术示范，加大除草技术培训力度，推广“以草治草”“地膜覆盖”等生态、物理除草技术，推广“零天施药”“定向喷雾”等化学封杀技术。</w:t>
      </w:r>
    </w:p>
    <w:p>
      <w:pPr>
        <w:keepNext w:val="0"/>
        <w:keepLines w:val="0"/>
        <w:pageBreakBefore w:val="0"/>
        <w:widowControl w:val="0"/>
        <w:numPr>
          <w:ilvl w:val="0"/>
          <w:numId w:val="0"/>
        </w:numPr>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黑体" w:hAnsi="黑体" w:eastAsia="黑体" w:cs="黑体"/>
          <w:b w:val="0"/>
          <w:bCs w:val="0"/>
          <w:spacing w:val="0"/>
          <w:kern w:val="21"/>
          <w:sz w:val="32"/>
          <w:szCs w:val="32"/>
          <w:highlight w:val="none"/>
          <w:lang w:val="en-US" w:eastAsia="zh-CN"/>
        </w:rPr>
        <w:t>五、开展农药固定监测调查，准确统计农药使用量。</w:t>
      </w:r>
      <w:r>
        <w:rPr>
          <w:rFonts w:hint="eastAsia" w:ascii="仿宋_GB2312" w:hAnsi="仿宋_GB2312" w:eastAsia="仿宋_GB2312" w:cs="仿宋_GB2312"/>
          <w:spacing w:val="0"/>
          <w:kern w:val="21"/>
          <w:sz w:val="32"/>
          <w:szCs w:val="32"/>
          <w:highlight w:val="none"/>
          <w:lang w:val="en-US" w:eastAsia="zh-CN"/>
        </w:rPr>
        <w:t>在67个县建立农药使用量固定监测点5025个，在21个县建立农药面源污染固定监测点，指导市县</w:t>
      </w:r>
      <w:r>
        <w:rPr>
          <w:rFonts w:hint="eastAsia" w:ascii="仿宋_GB2312" w:hAnsi="仿宋_GB2312" w:eastAsia="仿宋_GB2312" w:cs="仿宋_GB2312"/>
          <w:spacing w:val="0"/>
          <w:kern w:val="21"/>
          <w:sz w:val="32"/>
          <w:szCs w:val="32"/>
          <w:lang w:val="en-US" w:eastAsia="zh-CN"/>
        </w:rPr>
        <w:t>建立常态化全覆盖调查监测网络</w:t>
      </w:r>
      <w:r>
        <w:rPr>
          <w:rFonts w:hint="eastAsia" w:ascii="仿宋_GB2312" w:hAnsi="仿宋_GB2312" w:eastAsia="仿宋_GB2312" w:cs="仿宋_GB2312"/>
          <w:spacing w:val="0"/>
          <w:kern w:val="21"/>
          <w:sz w:val="32"/>
          <w:szCs w:val="32"/>
          <w:highlight w:val="none"/>
          <w:lang w:val="en-US" w:eastAsia="zh-CN"/>
        </w:rPr>
        <w:t>。形成</w:t>
      </w:r>
      <w:r>
        <w:rPr>
          <w:rFonts w:hint="eastAsia" w:ascii="仿宋_GB2312" w:hAnsi="仿宋_GB2312" w:eastAsia="仿宋_GB2312" w:cs="仿宋_GB2312"/>
          <w:spacing w:val="0"/>
          <w:kern w:val="21"/>
          <w:sz w:val="32"/>
          <w:szCs w:val="32"/>
          <w:lang w:val="en-US" w:eastAsia="zh-CN"/>
        </w:rPr>
        <w:t>四川省农药使用量调查和农药面源污染定点监测报告，指导农药使用强度高的地区加大绿色农药产品推广应用力度。加强与统计部门沟通协调，明确农药使用统计方法、统计口径及统计数据审核发布等，确保统计数据客观可靠。</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黑体" w:hAnsi="黑体" w:eastAsia="黑体" w:cs="黑体"/>
          <w:b w:val="0"/>
          <w:bCs w:val="0"/>
          <w:spacing w:val="0"/>
          <w:kern w:val="21"/>
          <w:sz w:val="32"/>
          <w:szCs w:val="32"/>
          <w:highlight w:val="none"/>
          <w:lang w:val="en-US" w:eastAsia="zh-CN"/>
        </w:rPr>
        <w:t>六、强化禁限用等农药经营管理，规范农药经营行为。</w:t>
      </w:r>
      <w:r>
        <w:rPr>
          <w:rFonts w:hint="eastAsia" w:ascii="仿宋_GB2312" w:hAnsi="仿宋_GB2312" w:eastAsia="仿宋_GB2312" w:cs="仿宋_GB2312"/>
          <w:b w:val="0"/>
          <w:bCs w:val="0"/>
          <w:spacing w:val="0"/>
          <w:kern w:val="21"/>
          <w:sz w:val="32"/>
          <w:szCs w:val="32"/>
          <w:lang w:val="en-US" w:eastAsia="zh-CN"/>
        </w:rPr>
        <w:t>严格执行《农药管理条例》和《农药经营许可管理办法》规定，依法做好限</w:t>
      </w:r>
      <w:r>
        <w:rPr>
          <w:rFonts w:hint="eastAsia" w:ascii="仿宋_GB2312" w:hAnsi="仿宋_GB2312" w:eastAsia="仿宋_GB2312" w:cs="仿宋_GB2312"/>
          <w:spacing w:val="0"/>
          <w:kern w:val="21"/>
          <w:sz w:val="32"/>
          <w:szCs w:val="32"/>
          <w:lang w:val="en-US" w:eastAsia="zh-CN"/>
        </w:rPr>
        <w:t>制使用农药经营许可审批，修订《四川省限制使用农药定点经营规定》，调整优化限制使用农药定点经营最高限额和具体布局。开展</w:t>
      </w:r>
      <w:r>
        <w:rPr>
          <w:rFonts w:hint="eastAsia" w:ascii="仿宋_GB2312" w:hAnsi="仿宋_GB2312" w:eastAsia="仿宋_GB2312" w:cs="仿宋_GB2312"/>
          <w:b w:val="0"/>
          <w:bCs w:val="0"/>
          <w:spacing w:val="0"/>
          <w:kern w:val="21"/>
          <w:sz w:val="32"/>
          <w:szCs w:val="32"/>
          <w:lang w:val="en-US" w:eastAsia="zh-CN"/>
        </w:rPr>
        <w:t>标准化农药经营门店示范创建活</w:t>
      </w:r>
      <w:r>
        <w:rPr>
          <w:rFonts w:hint="eastAsia" w:ascii="仿宋_GB2312" w:hAnsi="仿宋_GB2312" w:eastAsia="仿宋_GB2312" w:cs="仿宋_GB2312"/>
          <w:b w:val="0"/>
          <w:bCs w:val="0"/>
          <w:spacing w:val="0"/>
          <w:kern w:val="21"/>
          <w:sz w:val="32"/>
          <w:szCs w:val="32"/>
          <w:highlight w:val="none"/>
          <w:lang w:val="en-US" w:eastAsia="zh-CN"/>
        </w:rPr>
        <w:t>动，通过梯次推进，逐步提高农药经营示范门店准入门槛和标准化水平，到年底创建标准化农药经营示范门店100家。</w:t>
      </w:r>
      <w:r>
        <w:rPr>
          <w:rFonts w:hint="eastAsia" w:ascii="仿宋_GB2312" w:hAnsi="仿宋_GB2312" w:eastAsia="仿宋_GB2312" w:cs="仿宋_GB2312"/>
          <w:b w:val="0"/>
          <w:bCs w:val="0"/>
          <w:spacing w:val="0"/>
          <w:kern w:val="21"/>
          <w:sz w:val="32"/>
          <w:szCs w:val="32"/>
          <w:lang w:val="en-US" w:eastAsia="zh-CN"/>
        </w:rPr>
        <w:t>加大对无证经营、超范围经营及销售假冒伪劣农药的执法和惩处力度；</w:t>
      </w:r>
      <w:r>
        <w:rPr>
          <w:rFonts w:hint="eastAsia" w:ascii="仿宋_GB2312" w:hAnsi="仿宋_GB2312" w:eastAsia="仿宋_GB2312" w:cs="仿宋_GB2312"/>
          <w:b w:val="0"/>
          <w:bCs w:val="0"/>
          <w:spacing w:val="0"/>
          <w:kern w:val="21"/>
          <w:sz w:val="32"/>
          <w:szCs w:val="32"/>
          <w:highlight w:val="none"/>
          <w:lang w:val="en-US" w:eastAsia="zh-CN"/>
        </w:rPr>
        <w:t>加强购销台账、追溯系统、农药产品包装标签标识日常检查；</w:t>
      </w:r>
      <w:r>
        <w:rPr>
          <w:rFonts w:hint="eastAsia" w:ascii="仿宋_GB2312" w:hAnsi="仿宋_GB2312" w:eastAsia="仿宋_GB2312" w:cs="仿宋_GB2312"/>
          <w:b w:val="0"/>
          <w:bCs w:val="0"/>
          <w:spacing w:val="0"/>
          <w:kern w:val="21"/>
          <w:sz w:val="32"/>
          <w:szCs w:val="32"/>
          <w:lang w:val="en-US" w:eastAsia="zh-CN"/>
        </w:rPr>
        <w:t>规范“大处方”等不科学售药行为，</w:t>
      </w:r>
      <w:r>
        <w:rPr>
          <w:rFonts w:hint="eastAsia" w:ascii="仿宋_GB2312" w:hAnsi="仿宋_GB2312" w:eastAsia="仿宋_GB2312" w:cs="仿宋_GB2312"/>
          <w:spacing w:val="0"/>
          <w:kern w:val="21"/>
          <w:sz w:val="32"/>
          <w:szCs w:val="32"/>
          <w:lang w:val="en-US" w:eastAsia="zh-CN"/>
        </w:rPr>
        <w:t>在标准化农药经营示范门店中试点推行植物医生持证上岗和处方笺制度，做到“用药有依据、来源可追溯、流向可追踪”。</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黑体" w:hAnsi="黑体" w:eastAsia="黑体" w:cs="黑体"/>
          <w:b w:val="0"/>
          <w:bCs w:val="0"/>
          <w:spacing w:val="0"/>
          <w:kern w:val="21"/>
          <w:sz w:val="32"/>
          <w:szCs w:val="32"/>
          <w:highlight w:val="none"/>
          <w:lang w:val="en-US" w:eastAsia="zh-CN"/>
        </w:rPr>
        <w:t>七、加强农药包装废弃物回收处理，推进农业面源污染治理。</w:t>
      </w:r>
      <w:r>
        <w:rPr>
          <w:rFonts w:hint="eastAsia" w:ascii="仿宋_GB2312" w:hAnsi="仿宋_GB2312" w:eastAsia="仿宋_GB2312" w:cs="仿宋_GB2312"/>
          <w:b w:val="0"/>
          <w:bCs w:val="0"/>
          <w:spacing w:val="0"/>
          <w:kern w:val="21"/>
          <w:sz w:val="32"/>
          <w:szCs w:val="32"/>
          <w:highlight w:val="none"/>
          <w:lang w:val="en-US" w:eastAsia="zh-CN"/>
        </w:rPr>
        <w:t>按照《农药包装废弃物回收处理管理办法》《国家危险废物名录（2021年版）》要求，统筹开展农药包装废弃物收集、运输、利用、处理等工作。优化农药包装废弃物回收装置布局，在农药</w:t>
      </w:r>
      <w:r>
        <w:rPr>
          <w:rFonts w:hint="eastAsia" w:ascii="仿宋_GB2312" w:hAnsi="仿宋_GB2312" w:eastAsia="仿宋_GB2312" w:cs="仿宋_GB2312"/>
          <w:spacing w:val="0"/>
          <w:kern w:val="21"/>
          <w:sz w:val="32"/>
          <w:szCs w:val="32"/>
          <w:lang w:val="en-US" w:eastAsia="zh-CN"/>
        </w:rPr>
        <w:t>经营门店、村级垃圾回收站（点）布设农药包装废弃物回收装置，逐步建立“店村结合”的农药包装废弃物回收体系。全面推行农药包装废弃物回收押金制、有偿回收制、村站代储制等制度，提高回收处置率。不定期抽查农药销售台账和农药包装废弃物回收台账，检查农药包装废弃物回收情况。</w:t>
      </w:r>
    </w:p>
    <w:p>
      <w:pPr>
        <w:keepNext w:val="0"/>
        <w:keepLines w:val="0"/>
        <w:pageBreakBefore w:val="0"/>
        <w:widowControl w:val="0"/>
        <w:kinsoku/>
        <w:wordWrap/>
        <w:overflowPunct w:val="0"/>
        <w:topLinePunct w:val="0"/>
        <w:autoSpaceDE/>
        <w:autoSpaceDN/>
        <w:bidi w:val="0"/>
        <w:adjustRightInd/>
        <w:snapToGrid w:val="0"/>
        <w:spacing w:line="620" w:lineRule="exact"/>
        <w:ind w:left="0" w:leftChars="0" w:firstLine="640" w:firstLineChars="200"/>
        <w:jc w:val="both"/>
        <w:textAlignment w:val="auto"/>
        <w:outlineLvl w:val="9"/>
        <w:rPr>
          <w:rFonts w:hint="eastAsia" w:ascii="仿宋_GB2312" w:hAnsi="仿宋_GB2312" w:eastAsia="仿宋_GB2312" w:cs="仿宋_GB2312"/>
          <w:spacing w:val="0"/>
          <w:kern w:val="21"/>
          <w:sz w:val="32"/>
          <w:szCs w:val="32"/>
          <w:lang w:val="en-US" w:eastAsia="zh-CN"/>
        </w:rPr>
      </w:pPr>
      <w:r>
        <w:rPr>
          <w:rFonts w:hint="eastAsia" w:ascii="黑体" w:hAnsi="黑体" w:eastAsia="黑体" w:cs="黑体"/>
          <w:b w:val="0"/>
          <w:bCs w:val="0"/>
          <w:spacing w:val="0"/>
          <w:kern w:val="21"/>
          <w:sz w:val="32"/>
          <w:szCs w:val="32"/>
          <w:highlight w:val="none"/>
          <w:lang w:val="en-US" w:eastAsia="zh-CN"/>
        </w:rPr>
        <w:t>八、开展有害生物抗性监测，科学指导交替用药技术。</w:t>
      </w:r>
      <w:r>
        <w:rPr>
          <w:rFonts w:hint="eastAsia" w:ascii="仿宋_GB2312" w:hAnsi="仿宋_GB2312" w:eastAsia="仿宋_GB2312" w:cs="仿宋_GB2312"/>
          <w:spacing w:val="0"/>
          <w:kern w:val="21"/>
          <w:sz w:val="32"/>
          <w:szCs w:val="32"/>
          <w:lang w:val="en-US" w:eastAsia="zh-CN"/>
        </w:rPr>
        <w:t>组织开展稻飞虱、二化螟等重大病虫以及农田草害抗药性监测</w:t>
      </w:r>
      <w:r>
        <w:rPr>
          <w:rFonts w:hint="eastAsia" w:ascii="仿宋_GB2312" w:hAnsi="仿宋_GB2312" w:eastAsia="仿宋_GB2312" w:cs="仿宋_GB2312"/>
          <w:b w:val="0"/>
          <w:bCs w:val="0"/>
          <w:spacing w:val="0"/>
          <w:kern w:val="21"/>
          <w:sz w:val="32"/>
          <w:szCs w:val="32"/>
          <w:lang w:val="en-US" w:eastAsia="zh-CN"/>
        </w:rPr>
        <w:t>，科学指导交替用药技术</w:t>
      </w:r>
      <w:r>
        <w:rPr>
          <w:rFonts w:hint="eastAsia" w:ascii="仿宋_GB2312" w:hAnsi="仿宋_GB2312" w:eastAsia="仿宋_GB2312" w:cs="仿宋_GB2312"/>
          <w:spacing w:val="0"/>
          <w:kern w:val="21"/>
          <w:sz w:val="32"/>
          <w:szCs w:val="32"/>
          <w:lang w:val="en-US" w:eastAsia="zh-CN"/>
        </w:rPr>
        <w:t>。在彭山、梓潼、江安等11个监测点开展鼠情监测，发布鼠情预警预报；推广“毒饵站”灭鼠技术，加大TBS（围栏+捕鼠器）等生态控鼠技术示范，控制农区鼠害。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EA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2021-02-09T09:10:41Z</dcterms:created>
  <dc:creator>admin</dc:creator>
  <cp:lastModifiedBy>admin</cp:lastModifiedBy>
  <dcterms:modified xsi:type="dcterms:W3CDTF">2021-02-09T09:10:53Z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