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6A7A3">
      <w:pPr>
        <w:keepNext w:val="0"/>
        <w:keepLines w:val="0"/>
        <w:pageBreakBefore w:val="0"/>
        <w:widowControl w:val="0"/>
        <w:shd w:val="clear" w:color="auto" w:fill="auto"/>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14:paraId="49CFB938">
      <w:pPr>
        <w:keepNext w:val="0"/>
        <w:keepLines w:val="0"/>
        <w:pageBreakBefore w:val="0"/>
        <w:widowControl/>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color w:val="auto"/>
          <w:sz w:val="44"/>
          <w:szCs w:val="44"/>
          <w:highlight w:val="none"/>
          <w:lang w:val="en-US" w:eastAsia="zh-CN"/>
        </w:rPr>
      </w:pPr>
      <w:bookmarkStart w:id="4" w:name="_GoBack"/>
      <w:r>
        <w:rPr>
          <w:rFonts w:hint="default" w:ascii="Times New Roman" w:hAnsi="Times New Roman" w:eastAsia="方正小标宋简体" w:cs="Times New Roman"/>
          <w:color w:val="auto"/>
          <w:sz w:val="44"/>
          <w:szCs w:val="44"/>
          <w:highlight w:val="none"/>
          <w:lang w:val="en-US" w:eastAsia="zh-CN"/>
        </w:rPr>
        <w:t>丘陵山区花生机械化播收</w:t>
      </w:r>
      <w:r>
        <w:rPr>
          <w:rFonts w:hint="eastAsia" w:ascii="Times New Roman" w:hAnsi="Times New Roman" w:eastAsia="方正小标宋简体" w:cs="Times New Roman"/>
          <w:color w:val="auto"/>
          <w:sz w:val="44"/>
          <w:szCs w:val="44"/>
          <w:highlight w:val="none"/>
          <w:lang w:val="en-US" w:eastAsia="zh-CN"/>
        </w:rPr>
        <w:t>配套</w:t>
      </w:r>
      <w:r>
        <w:rPr>
          <w:rFonts w:hint="default" w:ascii="Times New Roman" w:hAnsi="Times New Roman" w:eastAsia="方正小标宋简体" w:cs="Times New Roman"/>
          <w:color w:val="auto"/>
          <w:sz w:val="44"/>
          <w:szCs w:val="44"/>
          <w:highlight w:val="none"/>
          <w:lang w:val="en-US" w:eastAsia="zh-CN"/>
        </w:rPr>
        <w:t>装备</w:t>
      </w:r>
    </w:p>
    <w:p w14:paraId="2203501C">
      <w:pPr>
        <w:keepNext w:val="0"/>
        <w:keepLines w:val="0"/>
        <w:pageBreakBefore w:val="0"/>
        <w:widowControl/>
        <w:kinsoku/>
        <w:wordWrap/>
        <w:overflowPunct/>
        <w:topLinePunct w:val="0"/>
        <w:autoSpaceDE/>
        <w:autoSpaceDN/>
        <w:bidi w:val="0"/>
        <w:spacing w:line="620" w:lineRule="exact"/>
        <w:jc w:val="center"/>
        <w:textAlignment w:val="auto"/>
        <w:rPr>
          <w:rFonts w:ascii="Times New Roman" w:hAnsi="Times New Roman" w:eastAsia="宋体" w:cs="Times New Roman"/>
          <w:b/>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熟化项目</w:t>
      </w:r>
      <w:bookmarkEnd w:id="4"/>
    </w:p>
    <w:p w14:paraId="5E26AF21">
      <w:pPr>
        <w:keepNext w:val="0"/>
        <w:keepLines w:val="0"/>
        <w:pageBreakBefore w:val="0"/>
        <w:widowControl/>
        <w:suppressLineNumbers w:val="0"/>
        <w:kinsoku/>
        <w:wordWrap/>
        <w:overflowPunct/>
        <w:topLinePunct w:val="0"/>
        <w:autoSpaceDE/>
        <w:autoSpaceDN/>
        <w:bidi w:val="0"/>
        <w:spacing w:line="620" w:lineRule="exact"/>
        <w:ind w:firstLine="643" w:firstLineChars="200"/>
        <w:jc w:val="left"/>
        <w:textAlignment w:val="auto"/>
        <w:rPr>
          <w:rFonts w:hint="eastAsia" w:ascii="Times New Roman" w:hAnsi="Times New Roman" w:eastAsia="仿宋_GB2312" w:cs="仿宋_GB2312"/>
          <w:bCs/>
          <w:color w:val="auto"/>
          <w:sz w:val="32"/>
          <w:szCs w:val="32"/>
          <w:highlight w:val="none"/>
          <w:lang w:bidi="he-IL"/>
        </w:rPr>
      </w:pPr>
      <w:r>
        <w:rPr>
          <w:rFonts w:hint="eastAsia" w:ascii="Times New Roman" w:hAnsi="Times New Roman" w:eastAsia="楷体" w:cs="楷体"/>
          <w:b/>
          <w:bCs/>
          <w:color w:val="auto"/>
          <w:spacing w:val="0"/>
          <w:position w:val="0"/>
          <w:sz w:val="32"/>
          <w:szCs w:val="32"/>
          <w:highlight w:val="none"/>
          <w:lang w:val="en-US" w:eastAsia="zh-CN"/>
        </w:rPr>
        <w:t>项目目的：</w:t>
      </w:r>
      <w:bookmarkStart w:id="0" w:name="OLE_LINK5"/>
      <w:bookmarkStart w:id="1" w:name="OLE_LINK4"/>
      <w:r>
        <w:rPr>
          <w:rFonts w:hint="eastAsia" w:ascii="Times New Roman" w:hAnsi="Times New Roman" w:eastAsia="仿宋_GB2312" w:cs="仿宋_GB2312"/>
          <w:bCs/>
          <w:color w:val="auto"/>
          <w:sz w:val="32"/>
          <w:szCs w:val="32"/>
          <w:highlight w:val="none"/>
          <w:lang w:val="en-US" w:eastAsia="zh-CN" w:bidi="he-IL"/>
        </w:rPr>
        <w:t>针对四川省丘陵山区花生种植地块细碎、坡度大、形状不规则且土壤黏重</w:t>
      </w:r>
      <w:bookmarkEnd w:id="0"/>
      <w:bookmarkEnd w:id="1"/>
      <w:r>
        <w:rPr>
          <w:rFonts w:hint="eastAsia" w:ascii="Times New Roman" w:hAnsi="Times New Roman" w:eastAsia="仿宋_GB2312" w:cs="仿宋_GB2312"/>
          <w:bCs/>
          <w:color w:val="auto"/>
          <w:sz w:val="32"/>
          <w:szCs w:val="32"/>
          <w:highlight w:val="none"/>
          <w:lang w:val="en-US" w:eastAsia="zh-CN" w:bidi="he-IL"/>
        </w:rPr>
        <w:t>，导致播种与收获关键环节机械化水平较低的突出问题，开展适宜丘陵</w:t>
      </w:r>
      <w:r>
        <w:rPr>
          <w:rFonts w:hint="eastAsia" w:ascii="Times New Roman" w:hAnsi="Times New Roman" w:eastAsia="仿宋_GB2312" w:cs="仿宋_GB2312"/>
          <w:bCs/>
          <w:i w:val="0"/>
          <w:iCs w:val="0"/>
          <w:caps w:val="0"/>
          <w:color w:val="auto"/>
          <w:spacing w:val="0"/>
          <w:kern w:val="2"/>
          <w:sz w:val="32"/>
          <w:szCs w:val="32"/>
          <w:highlight w:val="none"/>
          <w:shd w:val="clear" w:fill="auto"/>
          <w:lang w:val="en-US" w:eastAsia="zh-CN" w:bidi="he-IL"/>
        </w:rPr>
        <w:t>山区地形与土壤条件的花生播种和收获配套</w:t>
      </w:r>
      <w:r>
        <w:rPr>
          <w:rFonts w:hint="eastAsia" w:ascii="Times New Roman" w:hAnsi="Times New Roman" w:eastAsia="仿宋_GB2312" w:cs="仿宋_GB2312"/>
          <w:bCs/>
          <w:color w:val="auto"/>
          <w:sz w:val="32"/>
          <w:szCs w:val="32"/>
          <w:highlight w:val="none"/>
          <w:lang w:val="en-US" w:eastAsia="zh-CN" w:bidi="he-IL"/>
        </w:rPr>
        <w:t>装备的熟化和改进，加快装备推广应用，</w:t>
      </w:r>
      <w:r>
        <w:rPr>
          <w:rFonts w:hint="eastAsia" w:ascii="Times New Roman" w:hAnsi="Times New Roman" w:eastAsia="仿宋_GB2312" w:cs="仿宋_GB2312"/>
          <w:bCs/>
          <w:color w:val="auto"/>
          <w:sz w:val="32"/>
          <w:szCs w:val="32"/>
          <w:highlight w:val="none"/>
          <w:lang w:bidi="he-IL"/>
        </w:rPr>
        <w:t>有效提升花生生产机械化水平。</w:t>
      </w:r>
    </w:p>
    <w:p w14:paraId="752BE481">
      <w:pPr>
        <w:keepNext w:val="0"/>
        <w:keepLines w:val="0"/>
        <w:pageBreakBefore w:val="0"/>
        <w:widowControl/>
        <w:kinsoku/>
        <w:wordWrap/>
        <w:overflowPunct/>
        <w:topLinePunct w:val="0"/>
        <w:autoSpaceDE/>
        <w:autoSpaceDN/>
        <w:bidi w:val="0"/>
        <w:adjustRightInd/>
        <w:snapToGrid/>
        <w:spacing w:line="620" w:lineRule="exact"/>
        <w:ind w:firstLine="643" w:firstLineChars="200"/>
        <w:jc w:val="left"/>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楷体" w:cs="楷体"/>
          <w:b/>
          <w:bCs/>
          <w:color w:val="auto"/>
          <w:spacing w:val="0"/>
          <w:position w:val="0"/>
          <w:sz w:val="32"/>
          <w:szCs w:val="32"/>
          <w:highlight w:val="none"/>
          <w:lang w:val="en-US" w:eastAsia="zh-CN"/>
        </w:rPr>
        <w:t>研发内容：</w:t>
      </w:r>
      <w:r>
        <w:rPr>
          <w:rFonts w:hint="eastAsia" w:ascii="Times New Roman" w:hAnsi="Times New Roman" w:eastAsia="仿宋_GB2312" w:cs="仿宋_GB2312"/>
          <w:bCs/>
          <w:color w:val="auto"/>
          <w:sz w:val="32"/>
          <w:szCs w:val="32"/>
          <w:highlight w:val="none"/>
          <w:lang w:val="en-US" w:eastAsia="zh-CN" w:bidi="he-IL"/>
        </w:rPr>
        <w:t>围绕丘陵山区花生生产轻简、高效、适配、低损的核心需求，熟化与改进适用于中小地块的轻量化精量播种机、花生分段收（挖掘、捡拾）成套设备，开展关键作业部件和行走仿形系统优化，提高坡地作业稳定性、黏土通过性与作业可靠性，提高机械播种质量、降低机械收获损失率，提升播收装备适应性。</w:t>
      </w:r>
    </w:p>
    <w:p w14:paraId="04541112">
      <w:pPr>
        <w:keepNext w:val="0"/>
        <w:keepLines w:val="0"/>
        <w:pageBreakBefore w:val="0"/>
        <w:widowControl/>
        <w:kinsoku/>
        <w:wordWrap/>
        <w:overflowPunct/>
        <w:topLinePunct w:val="0"/>
        <w:autoSpaceDE/>
        <w:autoSpaceDN/>
        <w:bidi w:val="0"/>
        <w:adjustRightInd w:val="0"/>
        <w:snapToGrid w:val="0"/>
        <w:spacing w:line="620" w:lineRule="exact"/>
        <w:ind w:firstLine="643" w:firstLineChars="200"/>
        <w:textAlignment w:val="auto"/>
        <w:rPr>
          <w:rFonts w:ascii="Times New Roman" w:hAnsi="Times New Roman" w:eastAsia="方正楷体_GBK" w:cs="方正楷体_GBK"/>
          <w:b/>
          <w:bCs/>
          <w:color w:val="auto"/>
          <w:sz w:val="32"/>
          <w:szCs w:val="32"/>
          <w:highlight w:val="none"/>
        </w:rPr>
      </w:pPr>
      <w:r>
        <w:rPr>
          <w:rFonts w:hint="eastAsia" w:ascii="Times New Roman" w:hAnsi="Times New Roman" w:eastAsia="楷体" w:cs="楷体"/>
          <w:b/>
          <w:bCs/>
          <w:color w:val="auto"/>
          <w:spacing w:val="0"/>
          <w:position w:val="0"/>
          <w:sz w:val="32"/>
          <w:szCs w:val="32"/>
          <w:highlight w:val="none"/>
          <w:lang w:val="en-US" w:eastAsia="zh-CN"/>
        </w:rPr>
        <w:t>技术要求：</w:t>
      </w:r>
      <w:bookmarkStart w:id="2" w:name="OLE_LINK2"/>
      <w:bookmarkStart w:id="3" w:name="OLE_LINK1"/>
    </w:p>
    <w:p w14:paraId="68E5D455">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熟化适宜四川丘陵山区的花生精量播种机：悬挂式一垄两行花生精量播种机（带起垄覆膜功能）。作业效率≥3.0亩/h，最大作业坡度不低于10°，行距、株距可调，穴粒数合格率≥90%、穴距合格率≥90%、空穴率≤2%、播种深度合格率≥85%。悬挂式一垄两行花生精量播种机、起垄机、覆膜机的垄高、垄顶宽符合当地农艺要求，垄高合格率≥75%，垄顶宽合格率≥70%，膜边覆土率≥95%、</w:t>
      </w:r>
      <w:bookmarkEnd w:id="2"/>
      <w:bookmarkEnd w:id="3"/>
      <w:r>
        <w:rPr>
          <w:rFonts w:hint="eastAsia" w:ascii="Times New Roman" w:hAnsi="Times New Roman" w:eastAsia="仿宋_GB2312" w:cs="仿宋_GB2312"/>
          <w:bCs/>
          <w:color w:val="auto"/>
          <w:sz w:val="32"/>
          <w:szCs w:val="32"/>
          <w:highlight w:val="none"/>
          <w:lang w:val="en-US" w:eastAsia="zh-CN" w:bidi="he-IL"/>
        </w:rPr>
        <w:t>种肥间距合格率≥90%。对样机进行累计作业18小时的生产查定，有效度≥98%。</w:t>
      </w:r>
    </w:p>
    <w:p w14:paraId="0BF90232">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熟化适宜丘陵山区小地块和黏重土壤条件的花生分段收成套设备（含挖掘机、捡拾联合收获机）1套；最大作业坡度不小于10°；其中：挖掘机作业效率≥2.0亩/h、总损失率≤3.0%、埋果率≤2.0%、含土率≤20.0%；捡拾联合收获机作业效率≥1.2亩/h、总损失率≤5.0%、含杂率≤8.0%、破碎率≤5.0%。对样机进行累计作业18小时的生产查定，有效度≥98%。</w:t>
      </w:r>
    </w:p>
    <w:p w14:paraId="2BD6656F">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注：测试条件应满足坡度10°±1°，土壤含水量18%</w:t>
      </w:r>
      <w:r>
        <w:rPr>
          <w:rFonts w:hint="eastAsia" w:ascii="Times New Roman" w:hAnsi="Times New Roman" w:eastAsia="仿宋_GB2312" w:cs="仿宋_GB2312"/>
          <w:bCs/>
          <w:sz w:val="32"/>
          <w:szCs w:val="32"/>
          <w:lang w:bidi="he-IL"/>
        </w:rPr>
        <w:t>～</w:t>
      </w:r>
      <w:r>
        <w:rPr>
          <w:rFonts w:hint="eastAsia" w:ascii="Times New Roman" w:hAnsi="Times New Roman" w:eastAsia="仿宋_GB2312" w:cs="仿宋_GB2312"/>
          <w:bCs/>
          <w:color w:val="auto"/>
          <w:sz w:val="32"/>
          <w:szCs w:val="32"/>
          <w:highlight w:val="none"/>
          <w:lang w:val="en-US" w:eastAsia="zh-CN" w:bidi="he-IL"/>
        </w:rPr>
        <w:t>25%的沙土、沙壤土、壤土、黏重土的要求。</w:t>
      </w:r>
    </w:p>
    <w:p w14:paraId="32E25343">
      <w:pPr>
        <w:keepNext w:val="0"/>
        <w:keepLines w:val="0"/>
        <w:pageBreakBefore w:val="0"/>
        <w:widowControl/>
        <w:kinsoku/>
        <w:wordWrap/>
        <w:overflowPunct/>
        <w:topLinePunct w:val="0"/>
        <w:autoSpaceDE/>
        <w:autoSpaceDN/>
        <w:bidi w:val="0"/>
        <w:adjustRightInd w:val="0"/>
        <w:snapToGrid w:val="0"/>
        <w:spacing w:line="620" w:lineRule="exact"/>
        <w:ind w:firstLine="643" w:firstLineChars="200"/>
        <w:textAlignment w:val="auto"/>
        <w:rPr>
          <w:rFonts w:hint="eastAsia" w:ascii="Times New Roman" w:hAnsi="Times New Roman" w:eastAsia="楷体" w:cs="楷体"/>
          <w:b/>
          <w:bCs/>
          <w:color w:val="auto"/>
          <w:spacing w:val="0"/>
          <w:position w:val="0"/>
          <w:sz w:val="32"/>
          <w:szCs w:val="32"/>
          <w:highlight w:val="none"/>
          <w:lang w:val="en-US" w:eastAsia="zh-CN"/>
        </w:rPr>
      </w:pPr>
      <w:r>
        <w:rPr>
          <w:rFonts w:hint="eastAsia" w:ascii="Times New Roman" w:hAnsi="Times New Roman" w:eastAsia="楷体" w:cs="楷体"/>
          <w:b/>
          <w:bCs/>
          <w:color w:val="auto"/>
          <w:spacing w:val="0"/>
          <w:position w:val="0"/>
          <w:sz w:val="32"/>
          <w:szCs w:val="32"/>
          <w:highlight w:val="none"/>
          <w:lang w:val="en-US" w:eastAsia="zh-CN"/>
        </w:rPr>
        <w:t>考核指标：</w:t>
      </w:r>
    </w:p>
    <w:p w14:paraId="7EF2DB16">
      <w:pPr>
        <w:keepNext w:val="0"/>
        <w:keepLines w:val="0"/>
        <w:pageBreakBefore w:val="0"/>
        <w:widowControl w:val="0"/>
        <w:shd w:val="clear" w:color="auto" w:fill="auto"/>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1.产业化销售符合技术要求的花生精量播种机和花生分段收成套设备各≥12台（套），其中悬挂式精量播种机≥12台，挖掘机≥12台，捡拾联合收获机≥12台，机具应安装北斗智能监测终端（加装摄像头，用于上传作业图像）；</w:t>
      </w:r>
    </w:p>
    <w:p w14:paraId="0E0F9BDB">
      <w:pPr>
        <w:keepNext w:val="0"/>
        <w:keepLines w:val="0"/>
        <w:pageBreakBefore w:val="0"/>
        <w:widowControl w:val="0"/>
        <w:shd w:val="clear" w:color="auto" w:fill="auto"/>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2.构建不同区域、不同栽培模式的应用场景不少于3个，涵盖小地块、不同坡度等典型丘区地形地貌，每个场景100亩以上，完成机具操作规范、配套农艺技术报告、田间档案各1份；</w:t>
      </w:r>
    </w:p>
    <w:p w14:paraId="6D845A42">
      <w:pPr>
        <w:keepNext w:val="0"/>
        <w:keepLines w:val="0"/>
        <w:pageBreakBefore w:val="0"/>
        <w:widowControl w:val="0"/>
        <w:shd w:val="clear" w:color="auto" w:fill="auto"/>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bCs/>
          <w:color w:val="auto"/>
          <w:sz w:val="32"/>
          <w:szCs w:val="32"/>
          <w:highlight w:val="none"/>
          <w:lang w:val="en-US" w:eastAsia="zh-CN" w:bidi="he-IL"/>
        </w:rPr>
      </w:pPr>
      <w:r>
        <w:rPr>
          <w:rFonts w:hint="eastAsia" w:ascii="Times New Roman" w:hAnsi="Times New Roman" w:eastAsia="仿宋_GB2312" w:cs="仿宋_GB2312"/>
          <w:bCs/>
          <w:color w:val="auto"/>
          <w:sz w:val="32"/>
          <w:szCs w:val="32"/>
          <w:highlight w:val="none"/>
          <w:lang w:val="en-US" w:eastAsia="zh-CN" w:bidi="he-IL"/>
        </w:rPr>
        <w:t>3.全省推广应用面积≥2400亩。</w:t>
      </w:r>
    </w:p>
    <w:p w14:paraId="6926E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366CF"/>
    <w:rsid w:val="DDF3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2026-03-02T09:11:00Z</dcterms:created>
  <dc:creator>dandelion</dc:creator>
  <cp:lastModifiedBy>dandelion</cp:lastModifiedBy>
  <dcterms:modified xsi:type="dcterms:W3CDTF">2026-03-02T09:12:29Z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9CDFD9CAD2FB11A9D0E3A469AAC98CB0_41</vt:lpwstr>
  </property>
</Properties>
</file>