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24452">
      <w:pPr>
        <w:spacing w:line="600" w:lineRule="exact"/>
        <w:rPr>
          <w:rFonts w:ascii="黑体" w:hAnsi="黑体" w:eastAsia="黑体" w:cs="黑体"/>
          <w:sz w:val="32"/>
          <w:szCs w:val="32"/>
          <w:lang w:bidi="ar"/>
        </w:rPr>
      </w:pPr>
      <w:r>
        <w:rPr>
          <w:rFonts w:hint="eastAsia" w:ascii="黑体" w:hAnsi="黑体" w:eastAsia="黑体" w:cs="黑体"/>
          <w:sz w:val="32"/>
          <w:szCs w:val="32"/>
          <w:lang w:bidi="ar"/>
        </w:rPr>
        <w:t>附件</w:t>
      </w:r>
    </w:p>
    <w:p w14:paraId="0A737187">
      <w:pPr>
        <w:overflowPunct w:val="0"/>
        <w:topLinePunct/>
        <w:spacing w:line="240" w:lineRule="exact"/>
        <w:jc w:val="center"/>
        <w:rPr>
          <w:rFonts w:ascii="Times New Roman" w:hAnsi="Times New Roman" w:eastAsia="方正小标宋简体"/>
          <w:sz w:val="44"/>
          <w:szCs w:val="44"/>
        </w:rPr>
      </w:pPr>
    </w:p>
    <w:p w14:paraId="1CCBCD8C">
      <w:pPr>
        <w:overflowPunct w:val="0"/>
        <w:topLinePunct/>
        <w:spacing w:line="600" w:lineRule="exact"/>
        <w:jc w:val="center"/>
        <w:rPr>
          <w:rFonts w:ascii="Times New Roman" w:hAnsi="Times New Roman" w:eastAsia="方正小标宋简体"/>
          <w:sz w:val="44"/>
          <w:szCs w:val="44"/>
        </w:rPr>
      </w:pPr>
      <w:bookmarkStart w:id="0" w:name="_GoBack"/>
      <w:r>
        <w:rPr>
          <w:rFonts w:hint="eastAsia" w:ascii="Times New Roman" w:hAnsi="Times New Roman" w:eastAsia="方正小标宋简体"/>
          <w:sz w:val="44"/>
          <w:szCs w:val="44"/>
        </w:rPr>
        <w:t>第三轮</w:t>
      </w:r>
      <w:r>
        <w:rPr>
          <w:rFonts w:ascii="Times New Roman" w:hAnsi="Times New Roman" w:eastAsia="方正小标宋简体"/>
          <w:sz w:val="44"/>
          <w:szCs w:val="44"/>
        </w:rPr>
        <w:t>中央生态环境保护督察整改任务</w:t>
      </w:r>
    </w:p>
    <w:p w14:paraId="77CFBFC1">
      <w:pPr>
        <w:overflowPunct w:val="0"/>
        <w:topLinePunct/>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完成情况表</w:t>
      </w:r>
    </w:p>
    <w:bookmarkEnd w:id="0"/>
    <w:p w14:paraId="487C6354">
      <w:pPr>
        <w:overflowPunct w:val="0"/>
        <w:topLinePunct/>
        <w:spacing w:line="240" w:lineRule="exact"/>
        <w:jc w:val="center"/>
        <w:rPr>
          <w:rFonts w:hint="eastAsia" w:ascii="Times New Roman" w:hAnsi="Times New Roman" w:eastAsia="方正小标宋简体"/>
          <w:sz w:val="44"/>
          <w:szCs w:val="44"/>
        </w:rPr>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1952"/>
        <w:gridCol w:w="6388"/>
      </w:tblGrid>
      <w:tr w14:paraId="385F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29EFDD7A">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任务</w:t>
            </w:r>
          </w:p>
        </w:tc>
        <w:tc>
          <w:tcPr>
            <w:tcW w:w="3830" w:type="pct"/>
            <w:tcBorders>
              <w:top w:val="single" w:color="auto" w:sz="4" w:space="0"/>
              <w:left w:val="nil"/>
              <w:bottom w:val="single" w:color="auto" w:sz="4" w:space="0"/>
              <w:right w:val="single" w:color="auto" w:sz="4" w:space="0"/>
            </w:tcBorders>
            <w:noWrap w:val="0"/>
            <w:vAlign w:val="center"/>
          </w:tcPr>
          <w:p w14:paraId="768EBD88">
            <w:pPr>
              <w:overflowPunct w:val="0"/>
              <w:topLinePunct/>
              <w:spacing w:line="360" w:lineRule="exact"/>
              <w:ind w:firstLine="560" w:firstLineChars="200"/>
              <w:rPr>
                <w:rFonts w:ascii="Times New Roman" w:hAnsi="Times New Roman" w:eastAsia="楷体_GB2312"/>
                <w:kern w:val="0"/>
                <w:sz w:val="30"/>
                <w:szCs w:val="30"/>
              </w:rPr>
            </w:pPr>
            <w:r>
              <w:rPr>
                <w:rFonts w:hint="eastAsia" w:ascii="Times New Roman" w:hAnsi="Times New Roman" w:eastAsia="仿宋_GB2312"/>
                <w:sz w:val="28"/>
                <w:szCs w:val="28"/>
              </w:rPr>
              <w:t>长江上游生态保护存在薄弱环节。四川省是长江上游重要的水源涵养地，切实加强上游区域生态环境保护修复是筑牢长江上游生态屏障的根本保障。但一些地方及部门监管缺位，在生态保护修复、岸线管控等方面仍存在不少问题。</w:t>
            </w:r>
          </w:p>
        </w:tc>
      </w:tr>
      <w:tr w14:paraId="428A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35873DB0">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w:t>
            </w:r>
            <w:r>
              <w:rPr>
                <w:rFonts w:hint="eastAsia" w:ascii="Times New Roman" w:hAnsi="Times New Roman" w:eastAsia="楷体_GB2312"/>
                <w:bCs/>
                <w:kern w:val="0"/>
                <w:sz w:val="30"/>
                <w:szCs w:val="30"/>
              </w:rPr>
              <w:t>实施主体</w:t>
            </w:r>
          </w:p>
        </w:tc>
        <w:tc>
          <w:tcPr>
            <w:tcW w:w="3830" w:type="pct"/>
            <w:tcBorders>
              <w:top w:val="single" w:color="auto" w:sz="4" w:space="0"/>
              <w:left w:val="nil"/>
              <w:bottom w:val="single" w:color="auto" w:sz="4" w:space="0"/>
              <w:right w:val="single" w:color="auto" w:sz="4" w:space="0"/>
            </w:tcBorders>
            <w:noWrap w:val="0"/>
            <w:vAlign w:val="center"/>
          </w:tcPr>
          <w:p w14:paraId="61FF0210">
            <w:pPr>
              <w:overflowPunct w:val="0"/>
              <w:topLinePunct/>
              <w:spacing w:line="360" w:lineRule="exact"/>
              <w:rPr>
                <w:rFonts w:ascii="Times New Roman" w:hAnsi="Times New Roman" w:eastAsia="楷体_GB2312"/>
                <w:kern w:val="0"/>
                <w:sz w:val="30"/>
                <w:szCs w:val="30"/>
              </w:rPr>
            </w:pPr>
            <w:r>
              <w:rPr>
                <w:rFonts w:hint="eastAsia" w:ascii="Times New Roman" w:hAnsi="Times New Roman" w:eastAsia="仿宋_GB2312"/>
                <w:sz w:val="28"/>
                <w:szCs w:val="28"/>
              </w:rPr>
              <w:t>生态环境厅；自然资源厅、水利厅、农业农村厅、省林草局，各市（州）党委、政府</w:t>
            </w:r>
          </w:p>
        </w:tc>
      </w:tr>
      <w:tr w14:paraId="5A26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45E926AB">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整改目标</w:t>
            </w:r>
          </w:p>
        </w:tc>
        <w:tc>
          <w:tcPr>
            <w:tcW w:w="3830" w:type="pct"/>
            <w:tcBorders>
              <w:top w:val="single" w:color="auto" w:sz="4" w:space="0"/>
              <w:left w:val="nil"/>
              <w:bottom w:val="single" w:color="auto" w:sz="4" w:space="0"/>
              <w:right w:val="single" w:color="auto" w:sz="4" w:space="0"/>
            </w:tcBorders>
            <w:noWrap w:val="0"/>
            <w:vAlign w:val="center"/>
          </w:tcPr>
          <w:p w14:paraId="6060BE05">
            <w:pPr>
              <w:overflowPunct w:val="0"/>
              <w:topLinePunct/>
              <w:spacing w:line="360" w:lineRule="exact"/>
              <w:rPr>
                <w:rFonts w:ascii="Times New Roman" w:hAnsi="Times New Roman" w:eastAsia="楷体_GB2312"/>
                <w:kern w:val="0"/>
                <w:sz w:val="30"/>
                <w:szCs w:val="30"/>
              </w:rPr>
            </w:pPr>
            <w:r>
              <w:rPr>
                <w:rFonts w:hint="eastAsia" w:ascii="Times New Roman" w:hAnsi="Times New Roman" w:eastAsia="仿宋_GB2312"/>
                <w:sz w:val="28"/>
                <w:szCs w:val="28"/>
              </w:rPr>
              <w:t>强化监管，进一步筑牢长江上游生态屏障。</w:t>
            </w:r>
          </w:p>
        </w:tc>
      </w:tr>
      <w:tr w14:paraId="68CF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3525065F">
            <w:pPr>
              <w:overflowPunct w:val="0"/>
              <w:topLinePunct/>
              <w:spacing w:line="36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整改时限</w:t>
            </w:r>
          </w:p>
        </w:tc>
        <w:tc>
          <w:tcPr>
            <w:tcW w:w="3830" w:type="pct"/>
            <w:tcBorders>
              <w:top w:val="single" w:color="auto" w:sz="4" w:space="0"/>
              <w:left w:val="nil"/>
              <w:bottom w:val="single" w:color="auto" w:sz="4" w:space="0"/>
              <w:right w:val="single" w:color="auto" w:sz="4" w:space="0"/>
            </w:tcBorders>
            <w:noWrap w:val="0"/>
            <w:vAlign w:val="center"/>
          </w:tcPr>
          <w:p w14:paraId="03D5A3CA">
            <w:pPr>
              <w:overflowPunct w:val="0"/>
              <w:topLinePunct/>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2025年12月，长期坚持</w:t>
            </w:r>
          </w:p>
        </w:tc>
      </w:tr>
      <w:tr w14:paraId="472B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6FC781AF">
            <w:pPr>
              <w:overflowPunct w:val="0"/>
              <w:topLinePunct/>
              <w:spacing w:line="360" w:lineRule="exact"/>
              <w:jc w:val="center"/>
              <w:rPr>
                <w:rFonts w:ascii="Times New Roman" w:hAnsi="Times New Roman" w:eastAsia="楷体_GB2312"/>
                <w:bCs/>
                <w:kern w:val="0"/>
                <w:sz w:val="30"/>
                <w:szCs w:val="30"/>
              </w:rPr>
            </w:pPr>
            <w:r>
              <w:rPr>
                <w:rFonts w:ascii="Times New Roman" w:hAnsi="Times New Roman" w:eastAsia="楷体_GB2312"/>
                <w:bCs/>
                <w:kern w:val="0"/>
                <w:sz w:val="30"/>
                <w:szCs w:val="30"/>
              </w:rPr>
              <w:t>整改措施</w:t>
            </w:r>
          </w:p>
        </w:tc>
        <w:tc>
          <w:tcPr>
            <w:tcW w:w="3830" w:type="pct"/>
            <w:tcBorders>
              <w:top w:val="single" w:color="auto" w:sz="4" w:space="0"/>
              <w:left w:val="nil"/>
              <w:bottom w:val="single" w:color="auto" w:sz="4" w:space="0"/>
              <w:right w:val="single" w:color="auto" w:sz="4" w:space="0"/>
            </w:tcBorders>
            <w:noWrap w:val="0"/>
            <w:vAlign w:val="center"/>
          </w:tcPr>
          <w:p w14:paraId="25C8BB91">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1．引导全省党员干部树立正确政绩观，坚决贯彻落实“共抓大保护、不搞大开发”要求，严格执行长江保护法，严厉打击非法侵占岸线、非法捕捞等行为，持续推进矿山生态修复。</w:t>
            </w:r>
          </w:p>
          <w:p w14:paraId="1C2CC817">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2．严格落实生态环境保护“党政同责”和“一岗双责”要求，坚持管行业必须管环保、管业务必须管环保、管生产经营必须管环保，认真落实生态环境保护责任清单，履行行业部门生态环境保护工作职责，积极担当作为，做到守土有责、守土尽责。</w:t>
            </w:r>
          </w:p>
        </w:tc>
      </w:tr>
      <w:tr w14:paraId="67D9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 w:hRule="atLeast"/>
          <w:jc w:val="center"/>
        </w:trPr>
        <w:tc>
          <w:tcPr>
            <w:tcW w:w="1170" w:type="pct"/>
            <w:tcBorders>
              <w:top w:val="single" w:color="auto" w:sz="4" w:space="0"/>
              <w:left w:val="single" w:color="auto" w:sz="4" w:space="0"/>
              <w:bottom w:val="single" w:color="auto" w:sz="4" w:space="0"/>
              <w:right w:val="single" w:color="auto" w:sz="4" w:space="0"/>
            </w:tcBorders>
            <w:noWrap w:val="0"/>
            <w:vAlign w:val="center"/>
          </w:tcPr>
          <w:p w14:paraId="2E04DF60">
            <w:pPr>
              <w:overflowPunct w:val="0"/>
              <w:topLinePunct/>
              <w:spacing w:line="360" w:lineRule="exact"/>
              <w:jc w:val="center"/>
              <w:rPr>
                <w:rFonts w:ascii="Times New Roman" w:hAnsi="Times New Roman" w:eastAsia="楷体_GB2312"/>
                <w:bCs/>
                <w:kern w:val="0"/>
                <w:sz w:val="30"/>
                <w:szCs w:val="30"/>
              </w:rPr>
            </w:pPr>
            <w:r>
              <w:rPr>
                <w:rFonts w:hint="eastAsia" w:ascii="Times New Roman" w:hAnsi="Times New Roman" w:eastAsia="楷体_GB2312"/>
                <w:bCs/>
                <w:kern w:val="0"/>
                <w:sz w:val="30"/>
                <w:szCs w:val="30"/>
              </w:rPr>
              <w:t>整改主要工作及成效</w:t>
            </w:r>
          </w:p>
        </w:tc>
        <w:tc>
          <w:tcPr>
            <w:tcW w:w="3830" w:type="pct"/>
            <w:tcBorders>
              <w:top w:val="single" w:color="auto" w:sz="4" w:space="0"/>
              <w:left w:val="nil"/>
              <w:bottom w:val="single" w:color="auto" w:sz="4" w:space="0"/>
              <w:right w:val="single" w:color="auto" w:sz="4" w:space="0"/>
            </w:tcBorders>
            <w:noWrap w:val="0"/>
            <w:vAlign w:val="center"/>
          </w:tcPr>
          <w:p w14:paraId="736CA025">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1．各地、各部门严格执行长江保护法，加大资金投入，通过信息化手段强化河湖岸线、河道采砂全过程监管，严厉打击非法侵占岸线、非法捕捞等行为，常态化推进河湖库“清四乱”。启动全省矿山生态修复自查自改工作，持续推进矿山生态修复。</w:t>
            </w:r>
          </w:p>
          <w:p w14:paraId="203FCA56">
            <w:pPr>
              <w:overflowPunct w:val="0"/>
              <w:topLinePunct/>
              <w:spacing w:line="360" w:lineRule="exact"/>
              <w:rPr>
                <w:rFonts w:ascii="Times New Roman" w:hAnsi="Times New Roman" w:eastAsia="仿宋_GB2312"/>
                <w:sz w:val="28"/>
                <w:szCs w:val="28"/>
              </w:rPr>
            </w:pPr>
            <w:r>
              <w:rPr>
                <w:rFonts w:hint="eastAsia" w:ascii="Times New Roman" w:hAnsi="Times New Roman" w:eastAsia="仿宋_GB2312"/>
                <w:sz w:val="28"/>
                <w:szCs w:val="28"/>
              </w:rPr>
              <w:t>2．行业部门严格落实《四川省生态环境保护责任清单》。生态环境厅切实履行生态环境保护部门工作职责和统一监管职责，自然资源厅、水利厅、农业农村厅、省林草局等部门严格落实生态环境保护“党政同责”和“一岗双责”要求，坚决扛起长江上游生态保护政治责任。</w:t>
            </w:r>
          </w:p>
        </w:tc>
      </w:tr>
    </w:tbl>
    <w:p w14:paraId="7945DF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E5ED5"/>
    <w:rsid w:val="5E5E5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2025-12-29T17:25:00Z</dcterms:created>
  <dc:creator>dandelion</dc:creator>
  <cp:lastModifiedBy>dandelion</cp:lastModifiedBy>
  <dcterms:modified xsi:type="dcterms:W3CDTF">2025-12-29T17:25:35Z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882BEBB58A5B86ACEE48526907D7BB06_41</vt:lpwstr>
  </property>
</Properties>
</file>