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47" w:rsidRDefault="00DD4999">
      <w:pPr>
        <w:overflowPunct w:val="0"/>
        <w:topLinePunct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bookmarkEnd w:id="0"/>
    <w:p w:rsidR="00870C47" w:rsidRDefault="00870C47">
      <w:pPr>
        <w:pStyle w:val="2"/>
      </w:pPr>
    </w:p>
    <w:p w:rsidR="00870C47" w:rsidRDefault="00DD4999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第</w:t>
      </w:r>
      <w:r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轮中央生态环</w:t>
      </w:r>
      <w:r>
        <w:rPr>
          <w:rFonts w:ascii="Times New Roman" w:eastAsia="方正小标宋简体" w:hAnsi="Times New Roman"/>
          <w:sz w:val="44"/>
          <w:szCs w:val="44"/>
        </w:rPr>
        <w:t>境保护督察第</w:t>
      </w:r>
      <w:r>
        <w:rPr>
          <w:rFonts w:ascii="Times New Roman" w:eastAsia="方正小标宋简体" w:hAnsi="Times New Roman" w:hint="eastAsia"/>
          <w:sz w:val="44"/>
          <w:szCs w:val="44"/>
        </w:rPr>
        <w:t>四十三</w:t>
      </w:r>
      <w:r>
        <w:rPr>
          <w:rFonts w:ascii="Times New Roman" w:eastAsia="方正小标宋简体" w:hAnsi="Times New Roman"/>
          <w:sz w:val="44"/>
          <w:szCs w:val="44"/>
        </w:rPr>
        <w:t>项</w:t>
      </w:r>
    </w:p>
    <w:p w:rsidR="00870C47" w:rsidRDefault="00DD4999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整改任务完成情况表</w:t>
      </w:r>
    </w:p>
    <w:p w:rsidR="00870C47" w:rsidRDefault="00870C47">
      <w:pPr>
        <w:overflowPunct w:val="0"/>
        <w:topLinePunct/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72"/>
        <w:gridCol w:w="6580"/>
      </w:tblGrid>
      <w:tr w:rsidR="00870C47">
        <w:trPr>
          <w:trHeight w:val="97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草原过度放牧问题也较为突出，全省牧区牲畜超载率为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9.2%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。</w:t>
            </w:r>
          </w:p>
        </w:tc>
      </w:tr>
      <w:tr w:rsidR="00870C47">
        <w:trPr>
          <w:trHeight w:val="78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农业农村厅，阿坝州、甘孜州党委和人民政府</w:t>
            </w:r>
          </w:p>
        </w:tc>
      </w:tr>
      <w:tr w:rsidR="00870C47">
        <w:trPr>
          <w:trHeight w:val="7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年底，全省牧区牲畜超载率控制在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5%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以内，实现草畜平衡。</w:t>
            </w:r>
          </w:p>
        </w:tc>
      </w:tr>
      <w:tr w:rsidR="00870C47">
        <w:trPr>
          <w:trHeight w:val="85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1.2021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月，阿坝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州完成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156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个标准化牦牛养殖场建设。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月底前，甘孜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州完成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141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个标准化牦牛养殖场建设。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月底前，阿坝州、甘孜州牦牛出栏率稳定到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22%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左右水平。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2.2022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月底前，阿坝州阿坝县、红原县、若尔盖县、松潘县、壤塘县分别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2.5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4.4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7.7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0.7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1.3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万羊单位；甘孜州色达县、炉霍县分别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1.91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1.18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万羊单位。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月底前，阿坝州阿坝县、红原县、若尔盖县、松潘县、壤塘县分别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4.4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9.5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0.7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1.4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万羊单位，甘孜州色达县、炉霍县分别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0.62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2.25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万羊单位。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月底前，阿坝州若尔盖县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羊单位。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3.2022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月底前，阿坝州阿坝县、红原县、若尔盖县分别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发展人工种草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lastRenderedPageBreak/>
              <w:t>甘孜州炉霍县、色达县分别发展人工种草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4.2023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月底前，阿坝州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个县完成草原禁牧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2000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3765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万亩；甘孜州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18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个县完成草原禁牧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4500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7963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万亩。实施过程中，按照国家要求将草原禁牧和草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范围与第三次全国国土调查草原面积作相应衔接调整。</w:t>
            </w:r>
          </w:p>
        </w:tc>
      </w:tr>
      <w:tr w:rsidR="00870C47">
        <w:trPr>
          <w:trHeight w:val="124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整改主要工作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阿坝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州完成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156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个标准化牦牛养殖场建设。甘孜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州完成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141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个标准化牦牛养殖场建设。阿坝州、甘孜州牦牛出栏率稳定在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22%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左右水平。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年，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阿坝州阿坝、红原、若尔盖、松潘、壤塘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17.99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5.15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14.16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2.32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14.23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万羊单位；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年，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阿坝州阿坝、红原、若尔盖、松潘、壤塘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3.86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19.81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14.77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3.76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1.3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万羊单位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年，若尔盖县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33.47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万羊单位。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月底前，甘孜州色达县、炉霍县分别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1.91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1.18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万羊单位；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年底，甘孜州色达县、炉霍县实际载畜量分别较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年减少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 xml:space="preserve">37.3 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万、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5.2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万羊单位。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阿坝州阿坝县、红原县、若尔盖县分别完成人工种草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万亩；甘孜州炉霍县、色达县分别完成人工种草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阿坝州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个县完成草原禁牧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3765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万亩；甘孜州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个县完成草原禁牧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4500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7963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万亩。</w:t>
            </w:r>
          </w:p>
        </w:tc>
      </w:tr>
    </w:tbl>
    <w:p w:rsidR="00870C47" w:rsidRDefault="00DD4999">
      <w:pPr>
        <w:widowControl/>
        <w:spacing w:line="600" w:lineRule="exact"/>
        <w:jc w:val="left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8097520</wp:posOffset>
                </wp:positionV>
                <wp:extent cx="1228725" cy="471805"/>
                <wp:effectExtent l="0" t="0" r="952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0C47" w:rsidRDefault="00870C4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58.2pt;margin-top:637.6pt;width:96.75pt;height:3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" stroked="f">
                <v:textbox>
                  <w:txbxContent>
                    <w:p w:rsidR="00870C47" w:rsidRDefault="00870C4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8097520</wp:posOffset>
                </wp:positionV>
                <wp:extent cx="1228725" cy="471805"/>
                <wp:effectExtent l="0" t="0" r="9525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0C47" w:rsidRDefault="008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margin-left:358.2pt;margin-top:637.6pt;width:96.75pt;height:3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" stroked="f" strokeweight=".5pt">
                <v:textbox>
                  <w:txbxContent>
                    <w:p w:rsidR="00870C47" w:rsidRDefault="00870C47"/>
                  </w:txbxContent>
                </v:textbox>
              </v:shape>
            </w:pict>
          </mc:Fallback>
        </mc:AlternateContent>
      </w:r>
    </w:p>
    <w:p w:rsidR="00870C47" w:rsidRDefault="00DD4999">
      <w:r>
        <w:br w:type="page"/>
      </w:r>
    </w:p>
    <w:p w:rsidR="00870C47" w:rsidRDefault="00DD4999">
      <w:pPr>
        <w:overflowPunct w:val="0"/>
        <w:topLinePunct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870C47" w:rsidRDefault="00870C47">
      <w:pPr>
        <w:pStyle w:val="2"/>
      </w:pPr>
    </w:p>
    <w:p w:rsidR="00870C47" w:rsidRDefault="00DD4999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第</w:t>
      </w:r>
      <w:r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轮中央生态环</w:t>
      </w:r>
      <w:r>
        <w:rPr>
          <w:rFonts w:ascii="Times New Roman" w:eastAsia="方正小标宋简体" w:hAnsi="Times New Roman"/>
          <w:sz w:val="44"/>
          <w:szCs w:val="44"/>
        </w:rPr>
        <w:t>境保护督察第</w:t>
      </w:r>
      <w:r>
        <w:rPr>
          <w:rFonts w:ascii="Times New Roman" w:eastAsia="方正小标宋简体" w:hAnsi="Times New Roman" w:hint="eastAsia"/>
          <w:sz w:val="44"/>
          <w:szCs w:val="44"/>
        </w:rPr>
        <w:t>四十四</w:t>
      </w:r>
      <w:r>
        <w:rPr>
          <w:rFonts w:ascii="Times New Roman" w:eastAsia="方正小标宋简体" w:hAnsi="Times New Roman"/>
          <w:sz w:val="44"/>
          <w:szCs w:val="44"/>
        </w:rPr>
        <w:t>项</w:t>
      </w:r>
    </w:p>
    <w:p w:rsidR="00870C47" w:rsidRDefault="00DD4999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整改任务完成情况表</w:t>
      </w:r>
    </w:p>
    <w:p w:rsidR="00870C47" w:rsidRDefault="00870C47">
      <w:pPr>
        <w:overflowPunct w:val="0"/>
        <w:topLinePunct/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72"/>
        <w:gridCol w:w="6580"/>
      </w:tblGrid>
      <w:tr w:rsidR="00870C47">
        <w:trPr>
          <w:trHeight w:val="97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若尔盖湿地国家级自然保护区内部分区域牲畜超载率高达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29%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，对保护区内草原和湿地生态系统造成影响。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2020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年，若尔盖县牦牛、绵羊实际存栏量分别超过农牧发展规划目标的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68%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17%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。红原县也存在草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工作底数不清的问题。</w:t>
            </w:r>
          </w:p>
        </w:tc>
      </w:tr>
      <w:tr w:rsidR="00870C47">
        <w:trPr>
          <w:trHeight w:val="78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阿坝州委、州政府</w:t>
            </w:r>
          </w:p>
        </w:tc>
      </w:tr>
      <w:tr w:rsidR="00870C47">
        <w:trPr>
          <w:trHeight w:val="7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年底，红原县牲畜超载率控制在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5%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以内；到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年底，若尔盖县牲畜超载率控制在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5%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以内。</w:t>
            </w:r>
          </w:p>
        </w:tc>
      </w:tr>
      <w:tr w:rsidR="00870C47">
        <w:trPr>
          <w:trHeight w:val="85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1.2021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月，若尔盖县、红原县已分别新增人工草地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万亩，开展天然草原改良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18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月底前，若尔盖县、红原县分别新增人工草地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万亩，开展天然草原改良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月底前，若尔盖县、红原县分别新增人工草地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万亩，开展天然草原改良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2.2021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月，若尔盖县、红原县已分别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7.7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4.4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月底前，若尔盖县、红原县分别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9.5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4.4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月底前，若尔盖县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完成减畜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羊单位。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lastRenderedPageBreak/>
              <w:t>3.2021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月，若尔盖县、红原县已分别新建牦牛（绵羊）标准化养殖场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82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月底前，若尔盖县、红原县分别新建牦牛（绵羊）标准化养殖场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93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实施草原生态补助奖励政策，严格落实草原禁牧、草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制度。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年起，若尔盖县实施草原禁牧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458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518.35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万亩；红原县实施草原禁牧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476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643.15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万亩。实施过程中，按照国家要求将草原禁牧和草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范围与第三次全国国土调查草原面积作相应衔接调整。</w:t>
            </w:r>
          </w:p>
        </w:tc>
      </w:tr>
      <w:tr w:rsidR="00870C47">
        <w:trPr>
          <w:trHeight w:val="124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整改主要工作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40" w:lineRule="exact"/>
              <w:jc w:val="center"/>
              <w:rPr>
                <w:rFonts w:ascii="Times New Roman" w:eastAsia="楷体_GB2312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若尔盖县、红原县分别完成新增人工草地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亩，分别完成天然草原改良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37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万亩。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2.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2021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年，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若尔盖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县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14.16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羊单位、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红原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县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5.15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万羊单位；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年，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若尔盖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县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14.77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羊单位、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红原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县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19.81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万羊单位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；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2023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年，若尔盖县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完成减畜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33.47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万羊单位。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经进一步核实，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年，若尔盖县已建牦牛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绵羊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三结合示范场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300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红原已建牦牛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绵羊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标准化养殖场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43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个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年，若尔盖县已建牦牛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绵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羊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标准化养殖场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315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个，红原县采取牧户联建形式将规划的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个养殖场集中建成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个大型牦牛标准化养殖场，养殖标准及规模均得以提升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另新建暖棚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个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。</w:t>
            </w:r>
          </w:p>
          <w:p w:rsidR="00870C47" w:rsidRDefault="00DD4999">
            <w:pPr>
              <w:overflowPunct w:val="0"/>
              <w:topLinePunct/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实施草原生态补助奖励政策，严格落实草原禁牧、草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制度。若尔盖县完成草原禁牧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458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畜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lastRenderedPageBreak/>
              <w:t>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518.35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万亩；红原县完成草原禁牧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476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万亩、草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畜平衡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643.15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万亩。</w:t>
            </w:r>
          </w:p>
        </w:tc>
      </w:tr>
    </w:tbl>
    <w:p w:rsidR="00870C47" w:rsidRDefault="00DD4999">
      <w:pPr>
        <w:widowControl/>
        <w:spacing w:line="600" w:lineRule="exact"/>
        <w:jc w:val="left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8097520</wp:posOffset>
                </wp:positionV>
                <wp:extent cx="1228725" cy="471805"/>
                <wp:effectExtent l="0" t="0" r="9525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C47" w:rsidRDefault="00870C47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8" type="#_x0000_t202" style="position:absolute;margin-left:358.2pt;margin-top:637.6pt;width:96.75pt;height:3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" stroked="f">
                <v:textbox>
                  <w:txbxContent>
                    <w:p w:rsidR="00870C47" w:rsidRDefault="00870C47"/>
                  </w:txbxContent>
                </v:textbox>
              </v:shape>
            </w:pict>
          </mc:Fallback>
        </mc:AlternateContent>
      </w:r>
    </w:p>
    <w:p w:rsidR="00870C47" w:rsidRDefault="00DD4999">
      <w:pPr>
        <w:widowControl/>
        <w:spacing w:line="600" w:lineRule="exact"/>
        <w:jc w:val="lef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8097520</wp:posOffset>
                </wp:positionV>
                <wp:extent cx="1228725" cy="471805"/>
                <wp:effectExtent l="0" t="0" r="9525" b="44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0C47" w:rsidRDefault="008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margin-left:358.2pt;margin-top:637.6pt;width:96.75pt;height:3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" stroked="f" strokeweight=".5pt">
                <v:textbox>
                  <w:txbxContent>
                    <w:p w:rsidR="00870C47" w:rsidRDefault="00870C47"/>
                  </w:txbxContent>
                </v:textbox>
              </v:shape>
            </w:pict>
          </mc:Fallback>
        </mc:AlternateContent>
      </w:r>
    </w:p>
    <w:sectPr w:rsidR="00870C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99" w:rsidRDefault="00DD4999" w:rsidP="00E646EF">
      <w:r>
        <w:separator/>
      </w:r>
    </w:p>
  </w:endnote>
  <w:endnote w:type="continuationSeparator" w:id="0">
    <w:p w:rsidR="00DD4999" w:rsidRDefault="00DD4999" w:rsidP="00E6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66BE9CE-F855-4676-918A-CF30752EDA6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A3CBF66-C2D6-4716-9B4E-D7FC6FF3C59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99" w:rsidRDefault="00DD4999" w:rsidP="00E646EF">
      <w:r>
        <w:separator/>
      </w:r>
    </w:p>
  </w:footnote>
  <w:footnote w:type="continuationSeparator" w:id="0">
    <w:p w:rsidR="00DD4999" w:rsidRDefault="00DD4999" w:rsidP="00E6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FiY2I1OWJlMzI4YzBjMmQ5YjllZjY0ZTIyZmE0MDkifQ=="/>
  </w:docVars>
  <w:rsids>
    <w:rsidRoot w:val="2FD2EE70"/>
    <w:rsid w:val="EF5FE8DA"/>
    <w:rsid w:val="00870C47"/>
    <w:rsid w:val="00DD4999"/>
    <w:rsid w:val="00E646EF"/>
    <w:rsid w:val="053C7307"/>
    <w:rsid w:val="0B073C51"/>
    <w:rsid w:val="0F064A39"/>
    <w:rsid w:val="1358206F"/>
    <w:rsid w:val="14D87C31"/>
    <w:rsid w:val="160719CE"/>
    <w:rsid w:val="270537D9"/>
    <w:rsid w:val="2D172F75"/>
    <w:rsid w:val="2FD2EE70"/>
    <w:rsid w:val="32140EFD"/>
    <w:rsid w:val="333C774B"/>
    <w:rsid w:val="48E00EFA"/>
    <w:rsid w:val="58EC6961"/>
    <w:rsid w:val="657FB28E"/>
    <w:rsid w:val="68192532"/>
    <w:rsid w:val="6B4F282C"/>
    <w:rsid w:val="6DC51A9C"/>
    <w:rsid w:val="75D372B3"/>
    <w:rsid w:val="7A1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1D4D01-4DC2-43D0-88ED-8A54302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620" w:lineRule="exact"/>
      <w:ind w:firstLineChars="200" w:firstLine="880"/>
      <w:outlineLvl w:val="0"/>
    </w:pPr>
    <w:rPr>
      <w:rFonts w:ascii="方正黑体_GBK" w:eastAsia="方正黑体_GBK" w:hAnsi="方正黑体_GBK" w:cs="方正黑体_GBK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semiHidden/>
    <w:qFormat/>
    <w:pPr>
      <w:ind w:left="2940"/>
    </w:pPr>
  </w:style>
  <w:style w:type="paragraph" w:styleId="a3">
    <w:name w:val="Body Text"/>
    <w:basedOn w:val="a"/>
    <w:next w:val="8"/>
    <w:qFormat/>
    <w:pPr>
      <w:widowControl/>
      <w:spacing w:line="360" w:lineRule="auto"/>
      <w:jc w:val="left"/>
    </w:pPr>
    <w:rPr>
      <w:color w:val="000000"/>
      <w:kern w:val="0"/>
      <w:sz w:val="24"/>
      <w:szCs w:val="24"/>
      <w:lang w:eastAsia="en-US" w:bidi="en-US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2">
    <w:name w:val="Body Text First Indent 2"/>
    <w:basedOn w:val="a4"/>
    <w:next w:val="a"/>
    <w:qFormat/>
    <w:pPr>
      <w:suppressAutoHyphens/>
      <w:ind w:firstLineChars="200" w:firstLine="420"/>
    </w:pPr>
  </w:style>
  <w:style w:type="paragraph" w:customStyle="1" w:styleId="10">
    <w:name w:val="正文文本1"/>
    <w:basedOn w:val="a"/>
    <w:qFormat/>
    <w:pPr>
      <w:shd w:val="clear" w:color="auto" w:fill="FFFFFF"/>
      <w:spacing w:line="372" w:lineRule="auto"/>
      <w:ind w:firstLine="400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paragraph" w:styleId="a6">
    <w:name w:val="header"/>
    <w:basedOn w:val="a"/>
    <w:link w:val="a7"/>
    <w:rsid w:val="00E6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646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2024-08-07T03:30:00Z</dcterms:created>
  <dcterms:modified xsi:type="dcterms:W3CDTF">2024-08-07T03:30:00Z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B673AFF6828745CE89CD72DB48E3A1F8_13</vt:lpwstr>
  </property>
</Properties>
</file>