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附件2：</w:t>
      </w:r>
    </w:p>
    <w:p>
      <w:pPr>
        <w:jc w:val="center"/>
        <w:outlineLvl w:val="0"/>
        <w:rPr>
          <w:rFonts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2024年四川省麦（油）后水稻直播品种</w:t>
      </w:r>
    </w:p>
    <w:p>
      <w:pPr>
        <w:jc w:val="center"/>
        <w:outlineLvl w:val="0"/>
        <w:rPr>
          <w:rFonts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区域试验实施方案</w:t>
      </w:r>
    </w:p>
    <w:p>
      <w:pPr>
        <w:spacing w:after="0" w:line="360" w:lineRule="auto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</w:p>
    <w:p>
      <w:pPr>
        <w:spacing w:after="0" w:line="360" w:lineRule="auto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一、试验目的</w:t>
      </w:r>
    </w:p>
    <w:p>
      <w:pPr>
        <w:widowControl w:val="0"/>
        <w:adjustRightInd/>
        <w:snapToGrid/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为加快我省适宜轻简化栽培的水稻新品种选育和推广，以解决劳动力不足对我省水稻生产的不利影响，为适宜麦（油）后水稻直播品种审定、推广提供科学依据，特安排本组试验。</w:t>
      </w:r>
    </w:p>
    <w:p>
      <w:pPr>
        <w:spacing w:after="0" w:line="360" w:lineRule="auto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二、参试品种及供种单位</w:t>
      </w:r>
    </w:p>
    <w:p>
      <w:pPr>
        <w:widowControl w:val="0"/>
        <w:adjustRightInd/>
        <w:snapToGrid/>
        <w:spacing w:after="0" w:line="360" w:lineRule="auto"/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参试品种及供种单位见《2024年四川省水稻新品种区域试验实施方案》表1。</w:t>
      </w:r>
    </w:p>
    <w:p>
      <w:pPr>
        <w:widowControl w:val="0"/>
        <w:adjustRightInd/>
        <w:snapToGrid/>
        <w:spacing w:after="0" w:line="360" w:lineRule="auto"/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对照品种及供种单位见《2024年四川省水稻新品种区域试验实施方案》表2。</w:t>
      </w:r>
    </w:p>
    <w:p>
      <w:pPr>
        <w:spacing w:after="0" w:line="360" w:lineRule="auto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三、承担单位及试验执行人</w:t>
      </w:r>
    </w:p>
    <w:p>
      <w:pPr>
        <w:widowControl w:val="0"/>
        <w:adjustRightInd/>
        <w:snapToGrid/>
        <w:spacing w:after="0" w:line="360" w:lineRule="auto"/>
        <w:ind w:firstLine="640" w:firstLineChars="200"/>
        <w:outlineLvl w:val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承担单位及执行人见《2024年四川省水稻新品种区域试验实施方案》表3。</w:t>
      </w:r>
    </w:p>
    <w:p>
      <w:pPr>
        <w:spacing w:after="0" w:line="360" w:lineRule="auto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四、试验设计与管理</w:t>
      </w:r>
    </w:p>
    <w:p>
      <w:pPr>
        <w:widowControl w:val="0"/>
        <w:adjustRightInd/>
        <w:snapToGrid/>
        <w:spacing w:after="0" w:line="360" w:lineRule="auto"/>
        <w:ind w:firstLine="643" w:firstLineChars="200"/>
        <w:outlineLvl w:val="1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（一）试验田选择</w:t>
      </w:r>
    </w:p>
    <w:p>
      <w:pPr>
        <w:widowControl w:val="0"/>
        <w:adjustRightInd/>
        <w:snapToGrid/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试验田应选择土壤肥力水平中等偏上、排灌方便、形状规整、大小合适、前茬一致、肥力均匀的田块。前作为小麦（油菜）田或者上年夏季没有种植水稻的其他田块，若选用上年夏季虽种植水稻，但秋冬季没有翻耕，本年4月上旬已腾空的地块，从4月上旬开始干湿交替灌水，促使落地杂谷全部发芽成秧，直至5月20日后再施肥翻耕备播。</w:t>
      </w:r>
    </w:p>
    <w:p>
      <w:pPr>
        <w:widowControl w:val="0"/>
        <w:adjustRightInd/>
        <w:snapToGrid/>
        <w:spacing w:after="0" w:line="360" w:lineRule="auto"/>
        <w:ind w:firstLine="643" w:firstLineChars="200"/>
        <w:outlineLvl w:val="1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（二）试验设计</w:t>
      </w:r>
    </w:p>
    <w:p>
      <w:pPr>
        <w:widowControl w:val="0"/>
        <w:adjustRightInd/>
        <w:snapToGrid/>
        <w:spacing w:after="0"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1.设计方法</w:t>
      </w:r>
    </w:p>
    <w:p>
      <w:pPr>
        <w:widowControl w:val="0"/>
        <w:adjustRightInd/>
        <w:snapToGrid/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采用随机区组设计，3次重复，小区面积13.33㎡（0.02亩）。小区长方形，长:宽=2:1～3:1。同一试验点小区面积应一致,一组试验应在同一田块进行。</w:t>
      </w:r>
    </w:p>
    <w:p>
      <w:pPr>
        <w:widowControl w:val="0"/>
        <w:adjustRightInd/>
        <w:snapToGrid/>
        <w:spacing w:after="0"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2.保护行设置</w:t>
      </w:r>
    </w:p>
    <w:p>
      <w:pPr>
        <w:widowControl w:val="0"/>
        <w:adjustRightInd/>
        <w:snapToGrid/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试验四周应设置保护行，保护行宽度不小于80厘米，保护行种植对应小区品种。小区间、小区与保护行间距离40厘米。</w:t>
      </w:r>
    </w:p>
    <w:p>
      <w:pPr>
        <w:spacing w:after="0" w:line="360" w:lineRule="auto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（三）栽培管理</w:t>
      </w:r>
    </w:p>
    <w:p>
      <w:pPr>
        <w:widowControl w:val="0"/>
        <w:adjustRightInd/>
        <w:snapToGrid/>
        <w:spacing w:after="0" w:line="360" w:lineRule="auto"/>
        <w:ind w:firstLine="643" w:firstLineChars="200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 播种期</w:t>
      </w:r>
    </w:p>
    <w:p>
      <w:pPr>
        <w:widowControl w:val="0"/>
        <w:adjustRightInd/>
        <w:snapToGrid/>
        <w:spacing w:after="0" w:line="360" w:lineRule="auto"/>
        <w:ind w:firstLine="640" w:firstLineChars="200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5月25日-5月31日，同一组试验所有品种同期播种。</w:t>
      </w:r>
    </w:p>
    <w:p>
      <w:pPr>
        <w:widowControl w:val="0"/>
        <w:adjustRightInd/>
        <w:snapToGrid/>
        <w:spacing w:after="0" w:line="360" w:lineRule="auto"/>
        <w:ind w:firstLine="643" w:firstLineChars="200"/>
        <w:outlineLvl w:val="1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 整地</w:t>
      </w:r>
    </w:p>
    <w:p>
      <w:pPr>
        <w:widowControl w:val="0"/>
        <w:shd w:val="clear" w:color="auto" w:fill="FFFFFF"/>
        <w:adjustRightInd/>
        <w:snapToGrid/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2.1水直播：前茬收获后及早翻耕，做到田面平，排水畅通，厢沟、腰沟、围沟三沟相通，使厢面无积水。播种前平整好厢面，然后开厢理沟划小区，待泥浆沉实后播种。</w:t>
      </w:r>
    </w:p>
    <w:p>
      <w:pPr>
        <w:widowControl w:val="0"/>
        <w:shd w:val="clear" w:color="auto" w:fill="FFFFFF"/>
        <w:adjustRightInd/>
        <w:snapToGrid/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2.2 旱直播：前茬收获后干田翻耕整细，开沟划小区，播种后灌水。</w:t>
      </w:r>
    </w:p>
    <w:p>
      <w:pPr>
        <w:widowControl w:val="0"/>
        <w:shd w:val="clear" w:color="auto" w:fill="FFFFFF"/>
        <w:adjustRightInd/>
        <w:snapToGrid/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2.3 小区面积定位： 开厢理沟划小区时，为防止厢面边缘因开沟可能造成的塌陷，从而造成小区面积不一致，因此在划小区时应当用棍子对小区4角进行固定。播种前检查，若有塌陷及时修正。</w:t>
      </w:r>
    </w:p>
    <w:p>
      <w:pPr>
        <w:widowControl w:val="0"/>
        <w:adjustRightInd/>
        <w:snapToGrid/>
        <w:spacing w:after="0" w:line="360" w:lineRule="auto"/>
        <w:ind w:firstLine="643" w:firstLineChars="200"/>
        <w:outlineLvl w:val="1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 播种</w:t>
      </w:r>
    </w:p>
    <w:p>
      <w:pPr>
        <w:widowControl w:val="0"/>
        <w:shd w:val="clear" w:color="auto" w:fill="FFFFFF"/>
        <w:adjustRightInd/>
        <w:snapToGrid/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3.1 播种前准备：播种前需测试参试品种千粒重和发芽率。</w:t>
      </w:r>
    </w:p>
    <w:p>
      <w:pPr>
        <w:widowControl w:val="0"/>
        <w:shd w:val="clear" w:color="auto" w:fill="FFFFFF"/>
        <w:adjustRightInd/>
        <w:snapToGrid/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3.2 播种步骤</w:t>
      </w:r>
    </w:p>
    <w:p>
      <w:pPr>
        <w:widowControl w:val="0"/>
        <w:shd w:val="clear" w:color="auto" w:fill="FFFFFF"/>
        <w:adjustRightInd/>
        <w:snapToGrid/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3.2.1 播种量确定：在保证杂交稻每亩基本苗（谷苗）4～5万、常规稻每亩基本苗（谷苗）11～12万的情况下，承担单位根据各试验品种的千粒重、发芽率和品种类型（杂交稻或常规稻）确定每品种播种量（理论播种量=千粒重÷1000×基本苗÷发芽率×小区面积（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）÷666.67m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），实际播种量均按照理论播种量的130%计算，并根据计算结果，按品种定量称取试验种子，以保证每种类（杂交或常规稻）品种基本苗基本一致。</w:t>
      </w:r>
    </w:p>
    <w:p>
      <w:pPr>
        <w:widowControl w:val="0"/>
        <w:shd w:val="clear" w:color="auto" w:fill="FFFFFF"/>
        <w:adjustRightInd/>
        <w:snapToGrid/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3.2.2 定量播种：采用小区定量播种。播种前种子应进行药剂浸种催芽，种子浸种催芽后，用丁硫克百威等包衣，防治鸟害，同时将每品种平均分成3份，每小区播种1份。同一组试验最好由1人负责完成播种，播种采用撒播，播种时应将试验种子撒播在小区四角定位形成的框内，以保证每品种播种面积、基本苗基本一致，先稀后补，即先播70％种子，再用30％的种子补缺补稀，要求播种均匀。播种后泥浆踏谷。</w:t>
      </w:r>
    </w:p>
    <w:p>
      <w:pPr>
        <w:widowControl w:val="0"/>
        <w:shd w:val="clear" w:color="auto" w:fill="FFFFFF"/>
        <w:adjustRightInd/>
        <w:snapToGrid/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3.2.3 移密补稀：出苗后，对于小区缺苗严重的地方，要及时移密补稀，使稻株均匀分布，同时将小区四角定位框以外的秧苗移入框内或去除。</w:t>
      </w:r>
    </w:p>
    <w:p>
      <w:pPr>
        <w:widowControl w:val="0"/>
        <w:adjustRightInd/>
        <w:snapToGrid/>
        <w:spacing w:after="0" w:line="360" w:lineRule="auto"/>
        <w:ind w:firstLine="643" w:firstLineChars="200"/>
        <w:outlineLvl w:val="1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 .田间管理</w:t>
      </w:r>
    </w:p>
    <w:p>
      <w:pPr>
        <w:widowControl w:val="0"/>
        <w:adjustRightInd/>
        <w:snapToGrid/>
        <w:spacing w:after="0" w:line="360" w:lineRule="auto"/>
        <w:ind w:firstLine="640" w:firstLineChars="200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4.1 除草</w:t>
      </w:r>
    </w:p>
    <w:p>
      <w:pPr>
        <w:widowControl w:val="0"/>
        <w:adjustRightInd/>
        <w:snapToGrid/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4.1.1 封闭除草：播种后3天内喷封闭除草剂，同时投放鼠雀害药物，以防鼠雀危害。</w:t>
      </w:r>
    </w:p>
    <w:p>
      <w:pPr>
        <w:widowControl w:val="0"/>
        <w:adjustRightInd/>
        <w:snapToGrid/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4.1.2 苗期除草：当秧苗3叶1心时，施苗期除草剂，并辅以人工除草。</w:t>
      </w:r>
    </w:p>
    <w:p>
      <w:pPr>
        <w:widowControl w:val="0"/>
        <w:adjustRightInd/>
        <w:snapToGrid/>
        <w:spacing w:after="0" w:line="360" w:lineRule="auto"/>
        <w:ind w:firstLine="640" w:firstLineChars="200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4.2 施肥</w:t>
      </w:r>
    </w:p>
    <w:p>
      <w:pPr>
        <w:widowControl w:val="0"/>
        <w:adjustRightInd/>
        <w:snapToGrid/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4.2.1  底肥：亩施碳铵25-30公斤。</w:t>
      </w:r>
    </w:p>
    <w:p>
      <w:pPr>
        <w:widowControl w:val="0"/>
        <w:adjustRightInd/>
        <w:snapToGrid/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4.2.2  追肥： 秧苗1叶1心施尿素7-8公斤，3叶1心亩施复合肥25公斤，5叶1心看苗施肥。</w:t>
      </w:r>
    </w:p>
    <w:p>
      <w:pPr>
        <w:widowControl w:val="0"/>
        <w:adjustRightInd/>
        <w:snapToGrid/>
        <w:spacing w:after="0" w:line="360" w:lineRule="auto"/>
        <w:ind w:firstLine="640" w:firstLineChars="200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4.3 管水</w:t>
      </w:r>
    </w:p>
    <w:p>
      <w:pPr>
        <w:widowControl w:val="0"/>
        <w:adjustRightInd/>
        <w:snapToGrid/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4.3.1  播种后至3叶1心保持田间湿润。</w:t>
      </w:r>
    </w:p>
    <w:p>
      <w:pPr>
        <w:widowControl w:val="0"/>
        <w:adjustRightInd/>
        <w:snapToGrid/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4.3.2  3叶1心至5叶1心间歇湿润灌溉。</w:t>
      </w:r>
    </w:p>
    <w:p>
      <w:pPr>
        <w:widowControl w:val="0"/>
        <w:adjustRightInd/>
        <w:snapToGrid/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4.3.3  6叶以后长期保持浅水灌溉，同时根据苗情适度晒田控苗，促进成穗率。</w:t>
      </w:r>
    </w:p>
    <w:p>
      <w:pPr>
        <w:widowControl w:val="0"/>
        <w:adjustRightInd/>
        <w:snapToGrid/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4.3.4  稻谷半吊黄时断水保持田间湿润。</w:t>
      </w:r>
    </w:p>
    <w:p>
      <w:pPr>
        <w:widowControl w:val="0"/>
        <w:adjustRightInd/>
        <w:snapToGrid/>
        <w:spacing w:after="0" w:line="360" w:lineRule="auto"/>
        <w:ind w:firstLine="640" w:firstLineChars="200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4.4 防治虫害</w:t>
      </w:r>
    </w:p>
    <w:p>
      <w:pPr>
        <w:widowControl w:val="0"/>
        <w:adjustRightInd/>
        <w:snapToGrid/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根据预测预报，及时进行虫害防治。</w:t>
      </w:r>
    </w:p>
    <w:p>
      <w:pPr>
        <w:widowControl w:val="0"/>
        <w:adjustRightInd/>
        <w:snapToGrid/>
        <w:spacing w:after="0" w:line="360" w:lineRule="auto"/>
        <w:ind w:firstLine="643" w:firstLineChars="200"/>
        <w:outlineLvl w:val="1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 其他要求</w:t>
      </w:r>
    </w:p>
    <w:p>
      <w:pPr>
        <w:widowControl w:val="0"/>
        <w:adjustRightInd/>
        <w:snapToGrid/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5.1整个试验期间治虫不治病；不使用植物生长调节剂。</w:t>
      </w:r>
    </w:p>
    <w:p>
      <w:pPr>
        <w:widowControl w:val="0"/>
        <w:adjustRightInd/>
        <w:snapToGrid/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5.2 施肥水平中等偏上，切忌偏高或偏低。</w:t>
      </w:r>
    </w:p>
    <w:p>
      <w:pPr>
        <w:widowControl w:val="0"/>
        <w:adjustRightInd/>
        <w:snapToGrid/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5.3 注意防止鸟、鼠、禽、畜等对试验的危害。</w:t>
      </w:r>
    </w:p>
    <w:p>
      <w:pPr>
        <w:widowControl w:val="0"/>
        <w:adjustRightInd/>
        <w:snapToGrid/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5.4 田间管理要及时，同一组试验的同一项管理措施要在同一天内完成，若不能完成的，至少同一重复要在一天内完成。</w:t>
      </w:r>
    </w:p>
    <w:p>
      <w:pPr>
        <w:widowControl w:val="0"/>
        <w:adjustRightInd/>
        <w:snapToGrid/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5.5其他栽培管理措施按当地大田生产习惯。</w:t>
      </w:r>
    </w:p>
    <w:p>
      <w:pPr>
        <w:widowControl w:val="0"/>
        <w:adjustRightInd/>
        <w:snapToGrid/>
        <w:spacing w:after="0"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 产量计算</w:t>
      </w:r>
    </w:p>
    <w:p>
      <w:pPr>
        <w:widowControl w:val="0"/>
        <w:adjustRightInd/>
        <w:snapToGrid/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本试验小区面积13.33㎡为播种面积，不含边际效应，为方便计算，亩产量均按照小区面积13.33㎡折算。</w:t>
      </w:r>
    </w:p>
    <w:p>
      <w:pPr>
        <w:widowControl w:val="0"/>
        <w:adjustRightInd/>
        <w:snapToGrid/>
        <w:spacing w:after="0"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六、设置苗情调查点</w:t>
      </w:r>
    </w:p>
    <w:p>
      <w:pPr>
        <w:widowControl w:val="0"/>
        <w:adjustRightInd/>
        <w:snapToGrid/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在第I和第II重复各设置1个苗情调查点，每个点设置在离小区角两个边20厘米处，每点为0.5米×0.5米的正方形，调查点可用铁丝框或棍子固定，调查其出苗率、基本苗和有效穗。</w:t>
      </w:r>
    </w:p>
    <w:p>
      <w:pPr>
        <w:widowControl w:val="0"/>
        <w:adjustRightInd/>
        <w:snapToGrid/>
        <w:spacing w:after="0"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七、特性鉴定</w:t>
      </w:r>
    </w:p>
    <w:p>
      <w:pPr>
        <w:widowControl w:val="0"/>
        <w:adjustRightInd/>
        <w:snapToGrid/>
        <w:spacing w:after="0" w:line="360" w:lineRule="auto"/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鉴定内容及承担单位见《2024年四川省水稻新品种区域试验方案》表3。</w:t>
      </w:r>
    </w:p>
    <w:p>
      <w:pPr>
        <w:widowControl w:val="0"/>
        <w:adjustRightInd/>
        <w:snapToGrid/>
        <w:spacing w:after="0"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八、千粒重及发芽率检测</w:t>
      </w:r>
    </w:p>
    <w:p>
      <w:pPr>
        <w:widowControl w:val="0"/>
        <w:adjustRightInd/>
        <w:snapToGrid/>
        <w:spacing w:after="0" w:line="360" w:lineRule="auto"/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四川省农科院作物所在5月10日前后，对参试品种的千粒重和发芽率进行统一检测，并将测试结果告知各承担单位。</w:t>
      </w:r>
    </w:p>
    <w:p>
      <w:pPr>
        <w:widowControl w:val="0"/>
        <w:adjustRightInd/>
        <w:snapToGrid/>
        <w:spacing w:after="0"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九、观察记载和结果报送</w:t>
      </w:r>
    </w:p>
    <w:p>
      <w:pPr>
        <w:widowControl w:val="0"/>
        <w:adjustRightInd/>
        <w:snapToGrid/>
        <w:spacing w:after="0" w:line="360" w:lineRule="auto"/>
        <w:ind w:firstLine="643" w:firstLineChars="200"/>
        <w:outlineLvl w:val="1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 观察记载及收获测产</w:t>
      </w:r>
    </w:p>
    <w:p>
      <w:pPr>
        <w:widowControl w:val="0"/>
        <w:adjustRightInd/>
        <w:snapToGrid/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各试验点务必专人负责试验，确保试验过程和试验结果的真实性、科学性、准确性，按照本试验实施方案、《四川省水稻品种试验观察记载标准》及《四川省水稻区域试验记载本》的要求进行观察记载、苗情调查 、室内考种 、全区收获测产、综合评价等。 </w:t>
      </w:r>
    </w:p>
    <w:p>
      <w:pPr>
        <w:widowControl w:val="0"/>
        <w:adjustRightInd/>
        <w:snapToGrid/>
        <w:spacing w:after="0" w:line="360" w:lineRule="auto"/>
        <w:ind w:firstLine="643" w:firstLineChars="200"/>
        <w:outlineLvl w:val="1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（二）结果报送</w:t>
      </w:r>
    </w:p>
    <w:p>
      <w:pPr>
        <w:tabs>
          <w:tab w:val="left" w:pos="744"/>
        </w:tabs>
        <w:spacing w:after="0"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1.纸质和电子总结报送</w:t>
      </w:r>
    </w:p>
    <w:p>
      <w:pPr>
        <w:tabs>
          <w:tab w:val="left" w:pos="744"/>
        </w:tabs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承担单位应及时将书面总结（四川省水稻区域试验记载本）在10月20日前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发送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电子邮件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</w:rPr>
        <w:t>381627517@qq.com，并将书面总结一份加盖单位公章后报送我站（地址：成都市武侯区玉林北路5号，四川省种子站，收信人：李静，邮编：610041，电话028－85456865）。逾期将不予汇总。</w:t>
      </w:r>
    </w:p>
    <w:p>
      <w:pPr>
        <w:numPr>
          <w:ilvl w:val="0"/>
          <w:numId w:val="0"/>
        </w:numPr>
        <w:tabs>
          <w:tab w:val="left" w:pos="744"/>
        </w:tabs>
        <w:spacing w:after="0"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平台报送</w:t>
      </w:r>
    </w:p>
    <w:p>
      <w:pPr>
        <w:numPr>
          <w:ilvl w:val="0"/>
          <w:numId w:val="0"/>
        </w:numPr>
        <w:tabs>
          <w:tab w:val="left" w:pos="744"/>
        </w:tabs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https://zzxxmanage.scnynctxxzx.com/</w:t>
      </w:r>
      <w:r>
        <w:rPr>
          <w:rFonts w:hint="eastAsia" w:ascii="仿宋_GB2312" w:hAnsi="仿宋_GB2312" w:eastAsia="仿宋_GB2312" w:cs="仿宋_GB2312"/>
          <w:sz w:val="32"/>
          <w:szCs w:val="32"/>
        </w:rPr>
        <w:t>上传试验结果。</w:t>
      </w:r>
    </w:p>
    <w:p>
      <w:pPr>
        <w:widowControl w:val="0"/>
        <w:adjustRightInd/>
        <w:snapToGrid/>
        <w:spacing w:after="0"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十、其它事项</w:t>
      </w:r>
    </w:p>
    <w:p>
      <w:pPr>
        <w:widowControl w:val="0"/>
        <w:adjustRightInd/>
        <w:snapToGrid/>
        <w:spacing w:after="0"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（一）信息发布</w:t>
      </w:r>
    </w:p>
    <w:p>
      <w:pPr>
        <w:widowControl w:val="0"/>
        <w:adjustRightInd/>
        <w:snapToGrid/>
        <w:spacing w:after="0" w:line="360" w:lineRule="auto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有关信息在四川省农业农村厅网站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http://nynct.sc.gov.cn/和品种试验管理系统https://zzxxmanage.scnynctxxzx.com/发布。</w:t>
      </w:r>
    </w:p>
    <w:p>
      <w:pPr>
        <w:numPr>
          <w:ilvl w:val="0"/>
          <w:numId w:val="1"/>
        </w:numPr>
        <w:spacing w:after="0"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特殊情况处理</w:t>
      </w:r>
    </w:p>
    <w:p>
      <w:pPr>
        <w:numPr>
          <w:ilvl w:val="0"/>
          <w:numId w:val="0"/>
        </w:numPr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试验期间如发生明显影响试验结果的意外事故，试验点应在 7日内电告、10日内函告试验主持单位，说明事故发生经过、发生原因、采取的措施以及对试验的影响，并提供相关图片、影像等资料，并在在品种试验管理系统上传图片资料。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left="0"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监督检查</w:t>
      </w:r>
    </w:p>
    <w:p>
      <w:pPr>
        <w:widowControl w:val="0"/>
        <w:numPr>
          <w:ilvl w:val="0"/>
          <w:numId w:val="0"/>
        </w:numPr>
        <w:adjustRightInd/>
        <w:snapToGrid/>
        <w:spacing w:after="0" w:line="360" w:lineRule="auto"/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试验期间将组织有关专家对承担单位试验实施情况进行现场检查，对参试品种表现进行现场鉴评。</w:t>
      </w:r>
    </w:p>
    <w:sectPr>
      <w:footerReference r:id="rId3" w:type="default"/>
      <w:pgSz w:w="11906" w:h="16838"/>
      <w:pgMar w:top="1440" w:right="1134" w:bottom="1440" w:left="1134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ADjbKuwAQAA&#10;Tw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5619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MRYhpywAQAA&#10;Tw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4B051"/>
    <w:multiLevelType w:val="singleLevel"/>
    <w:tmpl w:val="7074B05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MDBiZjg4YmE3YTk5MDNmZmIzYzFlYzFkOTRhZjAifQ=="/>
  </w:docVars>
  <w:rsids>
    <w:rsidRoot w:val="00D31D50"/>
    <w:rsid w:val="002E3043"/>
    <w:rsid w:val="00323B43"/>
    <w:rsid w:val="003D37D8"/>
    <w:rsid w:val="00426133"/>
    <w:rsid w:val="004358AB"/>
    <w:rsid w:val="00574131"/>
    <w:rsid w:val="005B39F7"/>
    <w:rsid w:val="008B7726"/>
    <w:rsid w:val="00C85D36"/>
    <w:rsid w:val="00D31D50"/>
    <w:rsid w:val="00E67FB3"/>
    <w:rsid w:val="00E71B0F"/>
    <w:rsid w:val="01EA238B"/>
    <w:rsid w:val="03A86815"/>
    <w:rsid w:val="05F60F71"/>
    <w:rsid w:val="06240388"/>
    <w:rsid w:val="08396501"/>
    <w:rsid w:val="0F000F2A"/>
    <w:rsid w:val="15EA6517"/>
    <w:rsid w:val="16C26A1E"/>
    <w:rsid w:val="18411FCB"/>
    <w:rsid w:val="1EF85D9B"/>
    <w:rsid w:val="205F525F"/>
    <w:rsid w:val="20BA4AD5"/>
    <w:rsid w:val="22EE6FE4"/>
    <w:rsid w:val="252461AB"/>
    <w:rsid w:val="2660427E"/>
    <w:rsid w:val="26C34286"/>
    <w:rsid w:val="28A52579"/>
    <w:rsid w:val="297D3290"/>
    <w:rsid w:val="2AAC7158"/>
    <w:rsid w:val="2C982908"/>
    <w:rsid w:val="2D2C34DF"/>
    <w:rsid w:val="2EE80B0A"/>
    <w:rsid w:val="30D621D4"/>
    <w:rsid w:val="31E31F6F"/>
    <w:rsid w:val="31E65D6E"/>
    <w:rsid w:val="333332A9"/>
    <w:rsid w:val="33D24E5A"/>
    <w:rsid w:val="3483591F"/>
    <w:rsid w:val="35EA78CF"/>
    <w:rsid w:val="35FB78C0"/>
    <w:rsid w:val="369B7A79"/>
    <w:rsid w:val="3A353E25"/>
    <w:rsid w:val="3ADA18AA"/>
    <w:rsid w:val="3B47159E"/>
    <w:rsid w:val="3B6F0C49"/>
    <w:rsid w:val="3D1753F3"/>
    <w:rsid w:val="3D8638FD"/>
    <w:rsid w:val="3EBC346D"/>
    <w:rsid w:val="42626184"/>
    <w:rsid w:val="427E7BFE"/>
    <w:rsid w:val="42B7044E"/>
    <w:rsid w:val="458C666E"/>
    <w:rsid w:val="45C8160B"/>
    <w:rsid w:val="48A17503"/>
    <w:rsid w:val="4F36318E"/>
    <w:rsid w:val="50315CA2"/>
    <w:rsid w:val="50E40455"/>
    <w:rsid w:val="515E25D0"/>
    <w:rsid w:val="53B23623"/>
    <w:rsid w:val="53CE53BF"/>
    <w:rsid w:val="59D64A15"/>
    <w:rsid w:val="5A93352E"/>
    <w:rsid w:val="5B5202FB"/>
    <w:rsid w:val="5BC714A8"/>
    <w:rsid w:val="5BF60ED3"/>
    <w:rsid w:val="5EC611D6"/>
    <w:rsid w:val="5F372152"/>
    <w:rsid w:val="61635267"/>
    <w:rsid w:val="62390425"/>
    <w:rsid w:val="640B4EAB"/>
    <w:rsid w:val="66E4300C"/>
    <w:rsid w:val="676D7666"/>
    <w:rsid w:val="6AA678AE"/>
    <w:rsid w:val="6BD46865"/>
    <w:rsid w:val="6C4671CE"/>
    <w:rsid w:val="6C8D6B7F"/>
    <w:rsid w:val="6E587978"/>
    <w:rsid w:val="6ED230A3"/>
    <w:rsid w:val="6EDD1293"/>
    <w:rsid w:val="73E51D15"/>
    <w:rsid w:val="74136227"/>
    <w:rsid w:val="7719430B"/>
    <w:rsid w:val="7AFB17CE"/>
    <w:rsid w:val="7F15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0"/>
      </w:tabs>
      <w:spacing w:line="440" w:lineRule="exact"/>
      <w:ind w:firstLine="480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41"/>
    <w:basedOn w:val="7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31"/>
    <w:basedOn w:val="7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1">
    <w:name w:val="页眉 字符"/>
    <w:basedOn w:val="7"/>
    <w:link w:val="4"/>
    <w:qFormat/>
    <w:uiPriority w:val="99"/>
    <w:rPr>
      <w:rFonts w:ascii="Tahoma" w:hAnsi="Tahoma" w:eastAsia="微软雅黑" w:cstheme="minorBidi"/>
      <w:sz w:val="18"/>
      <w:szCs w:val="18"/>
    </w:rPr>
  </w:style>
  <w:style w:type="paragraph" w:customStyle="1" w:styleId="12">
    <w:name w:val="Revision"/>
    <w:hidden/>
    <w:unhideWhenUsed/>
    <w:qFormat/>
    <w:uiPriority w:val="99"/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35</Pages>
  <Words>4215</Words>
  <Characters>24028</Characters>
  <Lines>200</Lines>
  <Paragraphs>56</Paragraphs>
  <TotalTime>78</TotalTime>
  <ScaleCrop>false</ScaleCrop>
  <LinksUpToDate>false</LinksUpToDate>
  <CharactersWithSpaces>28187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HYX</cp:lastModifiedBy>
  <cp:lastPrinted>2024-03-27T01:36:00Z</cp:lastPrinted>
  <dcterms:modified xsi:type="dcterms:W3CDTF">2024-03-27T03:00:22Z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BB36AFE96A6A4C5A932AA41EAF27B16D</vt:lpwstr>
  </property>
</Properties>
</file>