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center"/>
        <w:outlineLvl w:val="1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试验质量评价指标说明</w:t>
      </w:r>
    </w:p>
    <w:p>
      <w:pPr>
        <w:spacing w:line="480" w:lineRule="exact"/>
        <w:jc w:val="left"/>
        <w:outlineLvl w:val="1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 试验落实情况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1.1  好：</w:t>
      </w:r>
      <w:r>
        <w:rPr>
          <w:rFonts w:hint="eastAsia" w:ascii="仿宋_GB2312" w:hAnsi="仿宋_GB2312" w:eastAsia="仿宋_GB2312" w:cs="仿宋_GB2312"/>
          <w:sz w:val="28"/>
          <w:szCs w:val="28"/>
        </w:rPr>
        <w:t>试验组别、组数、品种和试点完全与试验方案一致，根据试验品种数分组合理。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1.2  差：</w:t>
      </w:r>
      <w:r>
        <w:rPr>
          <w:rFonts w:hint="eastAsia" w:ascii="仿宋_GB2312" w:hAnsi="仿宋_GB2312" w:eastAsia="仿宋_GB2312" w:cs="仿宋_GB2312"/>
          <w:sz w:val="28"/>
          <w:szCs w:val="28"/>
        </w:rPr>
        <w:t>试验组别、组数、品种和试点与试验方案不一致，且未提前提交书面申请材料的；或同一组区域试验未种植在同一块田的；或同一组生产试验安排在不同田块，未在每块田种植对照品种的；或者试验未种植对照品种的，其他七项不需要再进行评价，总体情况为差；</w:t>
      </w:r>
    </w:p>
    <w:p>
      <w:pPr>
        <w:spacing w:line="480" w:lineRule="exact"/>
        <w:jc w:val="left"/>
        <w:outlineLvl w:val="1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  试验地周围环境</w:t>
      </w:r>
    </w:p>
    <w:p>
      <w:pPr>
        <w:spacing w:line="480" w:lineRule="exact"/>
        <w:jc w:val="left"/>
        <w:outlineLvl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2.1  好</w:t>
      </w:r>
      <w:r>
        <w:rPr>
          <w:rFonts w:hint="eastAsia" w:ascii="仿宋_GB2312" w:hAnsi="仿宋_GB2312" w:eastAsia="仿宋_GB2312" w:cs="仿宋_GB2312"/>
          <w:sz w:val="28"/>
          <w:szCs w:val="28"/>
        </w:rPr>
        <w:t>：试验地不受其他物体的影响（如建筑物、树木等）。</w:t>
      </w:r>
    </w:p>
    <w:p>
      <w:pPr>
        <w:spacing w:line="480" w:lineRule="exact"/>
        <w:jc w:val="left"/>
        <w:outlineLvl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2.2  中</w:t>
      </w:r>
      <w:r>
        <w:rPr>
          <w:rFonts w:hint="eastAsia" w:ascii="仿宋_GB2312" w:hAnsi="仿宋_GB2312" w:eastAsia="仿宋_GB2312" w:cs="仿宋_GB2312"/>
          <w:sz w:val="28"/>
          <w:szCs w:val="28"/>
        </w:rPr>
        <w:t>：其他物体对试验地有一定影响，但对试验质量影响不大。</w:t>
      </w:r>
    </w:p>
    <w:p>
      <w:pPr>
        <w:spacing w:line="480" w:lineRule="exact"/>
        <w:jc w:val="left"/>
        <w:outlineLvl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2.3  差</w:t>
      </w:r>
      <w:r>
        <w:rPr>
          <w:rFonts w:hint="eastAsia" w:ascii="仿宋_GB2312" w:hAnsi="仿宋_GB2312" w:eastAsia="仿宋_GB2312" w:cs="仿宋_GB2312"/>
          <w:sz w:val="28"/>
          <w:szCs w:val="28"/>
        </w:rPr>
        <w:t>：其他物体对试验地影响较大，影响试验质量。</w:t>
      </w:r>
    </w:p>
    <w:p>
      <w:pPr>
        <w:spacing w:line="480" w:lineRule="exact"/>
        <w:jc w:val="left"/>
        <w:outlineLvl w:val="1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  试验地平整情况</w:t>
      </w:r>
    </w:p>
    <w:p>
      <w:pPr>
        <w:spacing w:line="480" w:lineRule="exact"/>
        <w:jc w:val="left"/>
        <w:outlineLvl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3.1  好：</w:t>
      </w:r>
      <w:r>
        <w:rPr>
          <w:rFonts w:hint="eastAsia" w:ascii="仿宋_GB2312" w:hAnsi="仿宋_GB2312" w:eastAsia="仿宋_GB2312" w:cs="仿宋_GB2312"/>
          <w:sz w:val="28"/>
          <w:szCs w:val="28"/>
        </w:rPr>
        <w:t>土地平整、地力均匀。</w:t>
      </w:r>
    </w:p>
    <w:p>
      <w:pPr>
        <w:spacing w:line="480" w:lineRule="exact"/>
        <w:jc w:val="left"/>
        <w:outlineLvl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3.2  中</w:t>
      </w:r>
      <w:r>
        <w:rPr>
          <w:rFonts w:hint="eastAsia" w:ascii="仿宋_GB2312" w:hAnsi="仿宋_GB2312" w:eastAsia="仿宋_GB2312" w:cs="仿宋_GB2312"/>
          <w:sz w:val="28"/>
          <w:szCs w:val="28"/>
        </w:rPr>
        <w:t>：土地较平整、地力较均匀，对试验质量影响不大。</w:t>
      </w:r>
    </w:p>
    <w:p>
      <w:pPr>
        <w:spacing w:line="480" w:lineRule="exact"/>
        <w:jc w:val="left"/>
        <w:outlineLvl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3.3  差：</w:t>
      </w:r>
      <w:r>
        <w:rPr>
          <w:rFonts w:hint="eastAsia" w:ascii="仿宋_GB2312" w:hAnsi="仿宋_GB2312" w:eastAsia="仿宋_GB2312" w:cs="仿宋_GB2312"/>
          <w:sz w:val="28"/>
          <w:szCs w:val="28"/>
        </w:rPr>
        <w:t>土地不平整，或地力不均匀，影响试验质量。</w:t>
      </w:r>
    </w:p>
    <w:p>
      <w:pPr>
        <w:spacing w:line="480" w:lineRule="exact"/>
        <w:jc w:val="left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4  试验设计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4.1  好：</w:t>
      </w:r>
      <w:r>
        <w:rPr>
          <w:rFonts w:hint="eastAsia" w:ascii="仿宋_GB2312" w:hAnsi="仿宋_GB2312" w:eastAsia="仿宋_GB2312" w:cs="仿宋_GB2312"/>
          <w:sz w:val="28"/>
          <w:szCs w:val="28"/>
        </w:rPr>
        <w:t>按方案要求执行，保护行符合要求，小区排列布置合理，小区面积符合要求。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4.2  中：</w:t>
      </w:r>
      <w:r>
        <w:rPr>
          <w:rFonts w:hint="eastAsia" w:ascii="仿宋_GB2312" w:hAnsi="仿宋_GB2312" w:eastAsia="仿宋_GB2312" w:cs="仿宋_GB2312"/>
          <w:sz w:val="28"/>
          <w:szCs w:val="28"/>
        </w:rPr>
        <w:t>基本按方案要求执行，保护行基本符合要求，小区排列布置比较合理。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4.3  差：</w:t>
      </w:r>
      <w:r>
        <w:rPr>
          <w:rFonts w:hint="eastAsia" w:ascii="仿宋_GB2312" w:hAnsi="仿宋_GB2312" w:eastAsia="仿宋_GB2312" w:cs="仿宋_GB2312"/>
          <w:sz w:val="28"/>
          <w:szCs w:val="28"/>
        </w:rPr>
        <w:t>未按方案执行，无保护行，或小区排列布置不合理，或小区面积不符合要求，影响试验质量。</w:t>
      </w:r>
    </w:p>
    <w:p>
      <w:pPr>
        <w:spacing w:line="480" w:lineRule="exact"/>
        <w:jc w:val="left"/>
        <w:outlineLvl w:val="1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5  田间表现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5.1  好：</w:t>
      </w:r>
      <w:r>
        <w:rPr>
          <w:rFonts w:hint="eastAsia" w:ascii="仿宋_GB2312" w:hAnsi="仿宋_GB2312" w:eastAsia="仿宋_GB2312" w:cs="仿宋_GB2312"/>
          <w:sz w:val="28"/>
          <w:szCs w:val="28"/>
        </w:rPr>
        <w:t>生长均匀一致，无缺苗，无动物危害、无药害、无落田谷（水稻）。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5.2  中：</w:t>
      </w:r>
      <w:r>
        <w:rPr>
          <w:rFonts w:hint="eastAsia" w:ascii="仿宋_GB2312" w:hAnsi="仿宋_GB2312" w:eastAsia="仿宋_GB2312" w:cs="仿宋_GB2312"/>
          <w:sz w:val="28"/>
          <w:szCs w:val="28"/>
        </w:rPr>
        <w:t>生长基本均匀，缺苗、动物危害、药害、落田谷（水稻）不严重，对试验质量影响小。</w:t>
      </w:r>
    </w:p>
    <w:p/>
    <w:p>
      <w:pPr>
        <w:snapToGrid w:val="0"/>
        <w:spacing w:line="580" w:lineRule="exact"/>
        <w:jc w:val="center"/>
        <w:outlineLvl w:val="1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高风险品种评价指标说明</w:t>
      </w:r>
    </w:p>
    <w:p>
      <w:pPr>
        <w:snapToGrid w:val="0"/>
        <w:spacing w:line="480" w:lineRule="exact"/>
        <w:jc w:val="left"/>
        <w:outlineLvl w:val="1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  试验类型</w:t>
      </w:r>
    </w:p>
    <w:p>
      <w:pPr>
        <w:snapToGrid w:val="0"/>
        <w:spacing w:line="480" w:lineRule="exact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填写xx联合体（或绿色通道、或特殊类型、引种备案），“xx”代表试验开展单位简称 。</w:t>
      </w:r>
    </w:p>
    <w:p>
      <w:pPr>
        <w:snapToGrid w:val="0"/>
        <w:spacing w:line="480" w:lineRule="exact"/>
        <w:jc w:val="left"/>
        <w:outlineLvl w:val="1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  高风险品种评价指标</w:t>
      </w:r>
    </w:p>
    <w:p>
      <w:pPr>
        <w:snapToGrid w:val="0"/>
        <w:spacing w:line="480" w:lineRule="exact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一项或一项以上达到以下标准，均为高风险品种。</w:t>
      </w:r>
    </w:p>
    <w:p>
      <w:pPr>
        <w:snapToGrid w:val="0"/>
        <w:spacing w:line="480" w:lineRule="exact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2.1  一致性：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异型株率＞4%。</w:t>
      </w:r>
    </w:p>
    <w:p>
      <w:pPr>
        <w:snapToGrid w:val="0"/>
        <w:spacing w:line="480" w:lineRule="exact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2.2  抗倒性：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成熟期前，玉米：平均倒伏（倒折）率≥10%；水稻：平均倒伏面积＞25%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大豆平均倒伏率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＞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50%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。成熟期后及因自然灾害导致的倒伏（倒折）不予计算在内。</w:t>
      </w:r>
    </w:p>
    <w:p>
      <w:pPr>
        <w:snapToGrid w:val="0"/>
        <w:spacing w:line="480" w:lineRule="exact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2.3  抗病性：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水稻穗茎瘟田间发病率&gt;50%或稻曲病病穗率&gt;25% ；鲜食甜（糯）玉米田间发病纹枯病或小斑病达到高感；普通玉米平丘、山区、高原中熟组穗腐病、纹枯病、大斑病、小斑病、茎腐病、丝黑穗病、灰斑病任一病害田间发病达到高感；高寒玉米大斑病、灰斑病、普通锈病、茎腐病田间发病达到高感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普通大豆花叶病毒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病达到高感，鲜食大豆花叶病毒病、炭疽病任一病害达到高感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widowControl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br w:type="page"/>
      </w:r>
    </w:p>
    <w:p>
      <w:pPr>
        <w:adjustRightInd w:val="0"/>
        <w:snapToGrid w:val="0"/>
        <w:spacing w:line="540" w:lineRule="exact"/>
        <w:jc w:val="center"/>
        <w:outlineLvl w:val="1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试验质量评价指标说明</w:t>
      </w:r>
    </w:p>
    <w:p>
      <w:pPr>
        <w:spacing w:line="480" w:lineRule="exact"/>
        <w:jc w:val="left"/>
        <w:outlineLvl w:val="1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 试验落实情况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1.1  好：</w:t>
      </w:r>
      <w:r>
        <w:rPr>
          <w:rFonts w:hint="eastAsia" w:ascii="仿宋_GB2312" w:hAnsi="仿宋_GB2312" w:eastAsia="仿宋_GB2312" w:cs="仿宋_GB2312"/>
          <w:sz w:val="28"/>
          <w:szCs w:val="28"/>
        </w:rPr>
        <w:t>试验组别、组数、品种和试点完全与试验方案一致，根据试验品种数分组合理。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1.2  差：</w:t>
      </w:r>
      <w:r>
        <w:rPr>
          <w:rFonts w:hint="eastAsia" w:ascii="仿宋_GB2312" w:hAnsi="仿宋_GB2312" w:eastAsia="仿宋_GB2312" w:cs="仿宋_GB2312"/>
          <w:sz w:val="28"/>
          <w:szCs w:val="28"/>
        </w:rPr>
        <w:t>试验组别、组数、品种和试点与试验方案不一致，且未提前提交书面申请材料的；或同一组区域试验未种植在同一块田的；或同一组生产试验安排在不同田块，未在每块田种植对照品种的；或者试验未种植对照品种的，其他七项不需要再进行评价，总体情况为差；</w:t>
      </w:r>
    </w:p>
    <w:p>
      <w:pPr>
        <w:spacing w:line="480" w:lineRule="exact"/>
        <w:jc w:val="left"/>
        <w:outlineLvl w:val="1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  试验地周围环境</w:t>
      </w:r>
    </w:p>
    <w:p>
      <w:pPr>
        <w:spacing w:line="480" w:lineRule="exact"/>
        <w:jc w:val="left"/>
        <w:outlineLvl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2.1  好</w:t>
      </w:r>
      <w:r>
        <w:rPr>
          <w:rFonts w:hint="eastAsia" w:ascii="仿宋_GB2312" w:hAnsi="仿宋_GB2312" w:eastAsia="仿宋_GB2312" w:cs="仿宋_GB2312"/>
          <w:sz w:val="28"/>
          <w:szCs w:val="28"/>
        </w:rPr>
        <w:t>：试验地不受其他物体的影响（如建筑物、树木等）。</w:t>
      </w:r>
    </w:p>
    <w:p>
      <w:pPr>
        <w:spacing w:line="480" w:lineRule="exact"/>
        <w:jc w:val="left"/>
        <w:outlineLvl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2.2  中</w:t>
      </w:r>
      <w:r>
        <w:rPr>
          <w:rFonts w:hint="eastAsia" w:ascii="仿宋_GB2312" w:hAnsi="仿宋_GB2312" w:eastAsia="仿宋_GB2312" w:cs="仿宋_GB2312"/>
          <w:sz w:val="28"/>
          <w:szCs w:val="28"/>
        </w:rPr>
        <w:t>：其他物体对试验地有一定影响，但对试验质量影响不大。</w:t>
      </w:r>
    </w:p>
    <w:p>
      <w:pPr>
        <w:spacing w:line="480" w:lineRule="exact"/>
        <w:jc w:val="left"/>
        <w:outlineLvl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2.3  差</w:t>
      </w:r>
      <w:r>
        <w:rPr>
          <w:rFonts w:hint="eastAsia" w:ascii="仿宋_GB2312" w:hAnsi="仿宋_GB2312" w:eastAsia="仿宋_GB2312" w:cs="仿宋_GB2312"/>
          <w:sz w:val="28"/>
          <w:szCs w:val="28"/>
        </w:rPr>
        <w:t>：其他物体对试验地影响较大，影响试验质量。</w:t>
      </w:r>
    </w:p>
    <w:p>
      <w:pPr>
        <w:spacing w:line="480" w:lineRule="exact"/>
        <w:jc w:val="left"/>
        <w:outlineLvl w:val="1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  试验地平整情况</w:t>
      </w:r>
    </w:p>
    <w:p>
      <w:pPr>
        <w:spacing w:line="480" w:lineRule="exact"/>
        <w:jc w:val="left"/>
        <w:outlineLvl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3.1  好：</w:t>
      </w:r>
      <w:r>
        <w:rPr>
          <w:rFonts w:hint="eastAsia" w:ascii="仿宋_GB2312" w:hAnsi="仿宋_GB2312" w:eastAsia="仿宋_GB2312" w:cs="仿宋_GB2312"/>
          <w:sz w:val="28"/>
          <w:szCs w:val="28"/>
        </w:rPr>
        <w:t>土地平整、地力均匀。</w:t>
      </w:r>
    </w:p>
    <w:p>
      <w:pPr>
        <w:spacing w:line="480" w:lineRule="exact"/>
        <w:jc w:val="left"/>
        <w:outlineLvl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3.2  中</w:t>
      </w:r>
      <w:r>
        <w:rPr>
          <w:rFonts w:hint="eastAsia" w:ascii="仿宋_GB2312" w:hAnsi="仿宋_GB2312" w:eastAsia="仿宋_GB2312" w:cs="仿宋_GB2312"/>
          <w:sz w:val="28"/>
          <w:szCs w:val="28"/>
        </w:rPr>
        <w:t>：土地较平整、地力较均匀，对试验质量影响不大。</w:t>
      </w:r>
    </w:p>
    <w:p>
      <w:pPr>
        <w:spacing w:line="480" w:lineRule="exact"/>
        <w:jc w:val="left"/>
        <w:outlineLvl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3.3  差：</w:t>
      </w:r>
      <w:r>
        <w:rPr>
          <w:rFonts w:hint="eastAsia" w:ascii="仿宋_GB2312" w:hAnsi="仿宋_GB2312" w:eastAsia="仿宋_GB2312" w:cs="仿宋_GB2312"/>
          <w:sz w:val="28"/>
          <w:szCs w:val="28"/>
        </w:rPr>
        <w:t>土地不平整，或地力不均匀，影响试验质量。</w:t>
      </w:r>
    </w:p>
    <w:p>
      <w:pPr>
        <w:spacing w:line="480" w:lineRule="exact"/>
        <w:jc w:val="left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4  试验设计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4.1  好：</w:t>
      </w:r>
      <w:r>
        <w:rPr>
          <w:rFonts w:hint="eastAsia" w:ascii="仿宋_GB2312" w:hAnsi="仿宋_GB2312" w:eastAsia="仿宋_GB2312" w:cs="仿宋_GB2312"/>
          <w:sz w:val="28"/>
          <w:szCs w:val="28"/>
        </w:rPr>
        <w:t>按方案要求执行，保护行符合要求，小区排列布置合理，小区面积符合要求。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4.2  中：</w:t>
      </w:r>
      <w:r>
        <w:rPr>
          <w:rFonts w:hint="eastAsia" w:ascii="仿宋_GB2312" w:hAnsi="仿宋_GB2312" w:eastAsia="仿宋_GB2312" w:cs="仿宋_GB2312"/>
          <w:sz w:val="28"/>
          <w:szCs w:val="28"/>
        </w:rPr>
        <w:t>基本按方案要求执行，保护行基本符合要求，小区排列布置比较合理。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4.3  差：</w:t>
      </w:r>
      <w:r>
        <w:rPr>
          <w:rFonts w:hint="eastAsia" w:ascii="仿宋_GB2312" w:hAnsi="仿宋_GB2312" w:eastAsia="仿宋_GB2312" w:cs="仿宋_GB2312"/>
          <w:sz w:val="28"/>
          <w:szCs w:val="28"/>
        </w:rPr>
        <w:t>未按方案执行，无保护行，或小区排列布置不合理，或小区面积不符合要求，影响试验质量。</w:t>
      </w:r>
    </w:p>
    <w:p>
      <w:pPr>
        <w:spacing w:line="480" w:lineRule="exact"/>
        <w:jc w:val="left"/>
        <w:outlineLvl w:val="1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5  田间表现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5.1  好：</w:t>
      </w:r>
      <w:r>
        <w:rPr>
          <w:rFonts w:hint="eastAsia" w:ascii="仿宋_GB2312" w:hAnsi="仿宋_GB2312" w:eastAsia="仿宋_GB2312" w:cs="仿宋_GB2312"/>
          <w:sz w:val="28"/>
          <w:szCs w:val="28"/>
        </w:rPr>
        <w:t>生长均匀一致，无缺苗，无动物危害、无药害、无落田谷（水稻）。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5.2  中：</w:t>
      </w:r>
      <w:r>
        <w:rPr>
          <w:rFonts w:hint="eastAsia" w:ascii="仿宋_GB2312" w:hAnsi="仿宋_GB2312" w:eastAsia="仿宋_GB2312" w:cs="仿宋_GB2312"/>
          <w:sz w:val="28"/>
          <w:szCs w:val="28"/>
        </w:rPr>
        <w:t>生长基本均匀，缺苗、动物危害、药害、落田谷（水稻）不严重，对试验质量影响小。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6350A"/>
    <w:rsid w:val="1FA47845"/>
    <w:rsid w:val="2B3C3F10"/>
    <w:rsid w:val="2C8D7C70"/>
    <w:rsid w:val="33CF60B3"/>
    <w:rsid w:val="3B765073"/>
    <w:rsid w:val="3C2E6DBB"/>
    <w:rsid w:val="6F16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2021-10-12T08:38:00Z</dcterms:created>
  <dc:creator>木木</dc:creator>
  <cp:lastModifiedBy>黛山yama</cp:lastModifiedBy>
  <dcterms:modified xsi:type="dcterms:W3CDTF">2023-06-06T01:47:05Z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