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Toc24884218"/>
      <w:bookmarkStart w:id="1" w:name="_Toc17233333"/>
      <w:bookmarkStart w:id="2" w:name="_Toc127544854"/>
      <w:bookmarkStart w:id="3" w:name="_Toc26648465"/>
      <w:bookmarkStart w:id="4" w:name="_Toc26986771"/>
      <w:bookmarkStart w:id="5" w:name="_Toc130826194"/>
      <w:bookmarkStart w:id="6" w:name="_Toc130462745"/>
      <w:bookmarkStart w:id="7" w:name="_Toc97191423"/>
      <w:bookmarkStart w:id="8" w:name="_Toc127179019"/>
      <w:bookmarkStart w:id="9" w:name="_Toc24884211"/>
      <w:bookmarkStart w:id="10" w:name="_Toc26986530"/>
      <w:bookmarkStart w:id="11" w:name="_Toc17233325"/>
      <w:bookmarkStart w:id="12" w:name="_Toc2671893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四川省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大豆单产提升栽培技术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要点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国家现代农业产业技术体系四川豆类杂粮创新团队</w:t>
      </w: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0" w:firstLineChars="0"/>
        <w:jc w:val="center"/>
        <w:rPr>
          <w:rFonts w:hint="eastAsia" w:asci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 xml:space="preserve">四川省农业科学院   </w:t>
      </w: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叶鹏盛（电话：13882978883）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72" w:firstLineChars="20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72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</w:pPr>
      <w:bookmarkStart w:id="13" w:name="_Toc127544858"/>
      <w:bookmarkStart w:id="14" w:name="_Toc130462749"/>
      <w:bookmarkStart w:id="15" w:name="_Toc130826198"/>
      <w:bookmarkStart w:id="16" w:name="_Toc127179023"/>
      <w:r>
        <w:rPr>
          <w:rFonts w:hint="eastAsia" w:ascii="Times New Roman" w:cs="Times New Roman"/>
          <w:b w:val="0"/>
          <w:bCs w:val="0"/>
          <w:color w:val="auto"/>
          <w:spacing w:val="8"/>
          <w:kern w:val="36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品种选择</w:t>
      </w:r>
      <w:bookmarkEnd w:id="13"/>
      <w:bookmarkEnd w:id="14"/>
      <w:bookmarkEnd w:id="15"/>
      <w:bookmarkEnd w:id="16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豆品种应选择通过四川省审定或认定，或通过国家审定包含四川省区域，或通过四川省引种备案的品种。宜选择耐密、抗倒的春大豆、夏大豆品种。春播鲜食型品种可选择川豆155、川鲜豆1号、贡鲜豆4号等，春播粒用型品种可选择南豆23、川豆155、齐黄34等，夏播品种可选择南豆12、南夏豆25、贡秋豆5号等。种子质量应符合GB 4404.2 的规定。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72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</w:pPr>
      <w:bookmarkStart w:id="17" w:name="_Toc127179026"/>
      <w:bookmarkStart w:id="18" w:name="_Toc130826202"/>
      <w:bookmarkStart w:id="19" w:name="_Toc127544861"/>
      <w:bookmarkStart w:id="20" w:name="_Toc130462753"/>
      <w:r>
        <w:rPr>
          <w:rFonts w:hint="eastAsia" w:ascii="Times New Roman" w:cs="Times New Roman"/>
          <w:b w:val="0"/>
          <w:bCs w:val="0"/>
          <w:color w:val="auto"/>
          <w:spacing w:val="8"/>
          <w:kern w:val="36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播种</w:t>
      </w:r>
      <w:bookmarkEnd w:id="17"/>
      <w:bookmarkEnd w:id="18"/>
      <w:bookmarkEnd w:id="19"/>
      <w:bookmarkEnd w:id="20"/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bookmarkStart w:id="21" w:name="_Toc130826203"/>
      <w:bookmarkStart w:id="22" w:name="_Toc127544862"/>
      <w:bookmarkStart w:id="23" w:name="_Toc130462754"/>
      <w:bookmarkStart w:id="24" w:name="_Toc127179027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整地</w:t>
      </w:r>
      <w:bookmarkEnd w:id="21"/>
      <w:bookmarkEnd w:id="22"/>
      <w:bookmarkEnd w:id="23"/>
      <w:bookmarkEnd w:id="24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播种前5d～7d采用微型或小型旋耕机旋耕整地1～2遍，耕深约20 cm。结合旋耕整地每667 m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大豆种植带均匀施用腐熟农家肥500 kg～1000 kg，或商品有机肥100 kg～300 kg，或氮磷钾（15-15-15）复合肥10 kg～20 kg。肥料使用应符合NY/T 496的规定。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25" w:name="_Toc127544863"/>
      <w:bookmarkStart w:id="26" w:name="_Toc130826204"/>
      <w:bookmarkStart w:id="27" w:name="_Toc127179028"/>
      <w:bookmarkStart w:id="28" w:name="_Toc130462755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种子处理</w:t>
      </w:r>
      <w:bookmarkEnd w:id="25"/>
      <w:bookmarkEnd w:id="26"/>
      <w:bookmarkEnd w:id="27"/>
      <w:bookmarkEnd w:id="28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豆商品包衣种子按照说明书使用。未包衣种子，在播种前3d～5d对种子进行晒种、清选和去杂（去除破粒、瘪粒、病虫粒、不成熟粒和杂物等），采用已登记的具有杀虫、杀菌和补充营养等功能的大豆种子包衣剂、拌种剂，按照说明书进行处理。农药使用应符合GB/T 8321、NY/T 1276的规定。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29" w:name="_Toc127179029"/>
      <w:bookmarkStart w:id="30" w:name="_Toc130826205"/>
      <w:bookmarkStart w:id="31" w:name="_Toc130462756"/>
      <w:bookmarkStart w:id="32" w:name="_Toc127544864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播种</w:t>
      </w:r>
      <w:bookmarkEnd w:id="29"/>
      <w:bookmarkEnd w:id="30"/>
      <w:bookmarkEnd w:id="31"/>
      <w:bookmarkEnd w:id="32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选用微型机械或播种施肥一体机沿大豆种植带顺行播种。播前浇足底水或雨后抢墒播种。大豆播种深度3 cm～5 cm。</w:t>
      </w:r>
    </w:p>
    <w:p>
      <w:pPr>
        <w:pStyle w:val="18"/>
        <w:keepNext w:val="0"/>
        <w:keepLines w:val="0"/>
        <w:pageBreakBefore w:val="0"/>
        <w:widowControl w:val="0"/>
        <w:numPr>
          <w:ilvl w:val="3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 xml:space="preserve">1.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春大豆</w:t>
      </w: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地膜覆盖栽培于3月上旬至3月中旬播种，地膜使用应符合GB 13735的规定。露地栽培于3月下旬至4月中旬平均气温稳定在12 ℃以上时播种。机械精量单粒播种，行距30 cm～40 cm、株距8 cm～12 cm。</w:t>
      </w:r>
    </w:p>
    <w:p>
      <w:pPr>
        <w:pStyle w:val="18"/>
        <w:keepNext w:val="0"/>
        <w:keepLines w:val="0"/>
        <w:pageBreakBefore w:val="0"/>
        <w:widowControl w:val="0"/>
        <w:numPr>
          <w:ilvl w:val="3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夏大豆</w:t>
      </w: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6月中旬至7月上旬播种。机械精量单粒播种，行距45 cm～50 cm、株距10 cm～15 cm。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72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</w:pPr>
      <w:bookmarkStart w:id="33" w:name="_Toc130826206"/>
      <w:bookmarkStart w:id="34" w:name="_Toc127544865"/>
      <w:bookmarkStart w:id="35" w:name="_Toc127179030"/>
      <w:bookmarkStart w:id="36" w:name="_Toc130462757"/>
      <w:r>
        <w:rPr>
          <w:rFonts w:hint="eastAsia" w:ascii="Times New Roman" w:cs="Times New Roman"/>
          <w:b w:val="0"/>
          <w:bCs w:val="0"/>
          <w:color w:val="auto"/>
          <w:spacing w:val="8"/>
          <w:kern w:val="36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田间管理</w:t>
      </w:r>
      <w:bookmarkEnd w:id="33"/>
      <w:bookmarkEnd w:id="34"/>
      <w:bookmarkEnd w:id="35"/>
      <w:bookmarkEnd w:id="36"/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37" w:name="_Toc130462758"/>
      <w:bookmarkStart w:id="38" w:name="_Toc127544866"/>
      <w:bookmarkStart w:id="39" w:name="_Toc130826207"/>
      <w:bookmarkStart w:id="40" w:name="_Toc127179031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苗期管理</w:t>
      </w:r>
      <w:bookmarkEnd w:id="37"/>
      <w:bookmarkEnd w:id="38"/>
      <w:bookmarkEnd w:id="39"/>
      <w:bookmarkEnd w:id="40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缺苗断垄的应及时补苗补种，大豆补苗应在子叶展开到第一复叶展开前带土移栽，补种应对种子浸泡催芽12h后播种。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41" w:name="_Toc127544867"/>
      <w:bookmarkStart w:id="42" w:name="_Toc127179032"/>
      <w:bookmarkStart w:id="43" w:name="_Toc130462759"/>
      <w:bookmarkStart w:id="44" w:name="_Toc130826208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除草</w:t>
      </w:r>
      <w:bookmarkEnd w:id="41"/>
      <w:bookmarkEnd w:id="42"/>
      <w:bookmarkEnd w:id="43"/>
      <w:bookmarkEnd w:id="44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播后2d内封闭除草。大豆在苗期进行第一次中耕除草，封垄前进行第二次中耕除草，可结合追肥培土进行。除草剂使用应符合GB/T 8321、NY/T 1276的规定。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45" w:name="_Toc130826209"/>
      <w:bookmarkStart w:id="46" w:name="_Toc127179033"/>
      <w:bookmarkStart w:id="47" w:name="_Toc127544868"/>
      <w:bookmarkStart w:id="48" w:name="_Toc130462760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施肥</w:t>
      </w:r>
      <w:bookmarkEnd w:id="45"/>
      <w:bookmarkEnd w:id="46"/>
      <w:bookmarkEnd w:id="47"/>
      <w:bookmarkEnd w:id="48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鲜食大豆花荚期、鼓粒期叶面追肥各1次。粒用大豆在分枝期至初花期，结合中耕除草培土在大豆种植带每667 ㎡追施氮磷钾（15-15-15）复合肥10～15 kg；花荚期叶面追肥1次，可混合喷施尿素0.5%～1%、磷酸二氢钾0.2%～0.4%、硼砂0.1%～0.3%、钼酸铵0.02%～0.04%；鼓粒期叶面追肥1～2次，每次需间隔7～10天以上，可混合喷施尿素0.5%～0.8%、磷酸二氢钾0.3%～0.5%。肥料使用应符合NY/T 496的规定。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49" w:name="_Toc130826210"/>
      <w:bookmarkStart w:id="50" w:name="_Toc130462761"/>
      <w:bookmarkStart w:id="51" w:name="_Toc127179034"/>
      <w:bookmarkStart w:id="52" w:name="_Toc127544869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水分管理</w:t>
      </w:r>
      <w:bookmarkEnd w:id="49"/>
      <w:bookmarkEnd w:id="50"/>
      <w:bookmarkEnd w:id="51"/>
      <w:bookmarkEnd w:id="52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加强灌溉、排涝进行水分管理。灌溉水应符合GB 5084的规定。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72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</w:pPr>
      <w:bookmarkStart w:id="53" w:name="_Toc127544870"/>
      <w:bookmarkStart w:id="54" w:name="_Toc130462762"/>
      <w:bookmarkStart w:id="55" w:name="_Toc127179035"/>
      <w:bookmarkStart w:id="56" w:name="_Toc130826212"/>
      <w:r>
        <w:rPr>
          <w:rFonts w:hint="eastAsia" w:ascii="Times New Roman" w:cs="Times New Roman"/>
          <w:b w:val="0"/>
          <w:bCs w:val="0"/>
          <w:color w:val="auto"/>
          <w:spacing w:val="8"/>
          <w:kern w:val="36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病虫害防治</w:t>
      </w:r>
      <w:bookmarkEnd w:id="53"/>
      <w:bookmarkEnd w:id="54"/>
      <w:bookmarkEnd w:id="55"/>
      <w:bookmarkEnd w:id="56"/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57" w:name="_Toc127179036"/>
      <w:bookmarkStart w:id="58" w:name="_Toc130462763"/>
      <w:bookmarkStart w:id="59" w:name="_Toc127544871"/>
      <w:bookmarkStart w:id="60" w:name="_Toc130826213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主要病虫害</w:t>
      </w:r>
      <w:bookmarkEnd w:id="57"/>
      <w:bookmarkEnd w:id="58"/>
      <w:bookmarkEnd w:id="59"/>
      <w:bookmarkEnd w:id="60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大豆主要病虫害有根腐病、白粉病、锈病、病毒病、豆荚螟、大豆食心虫、斜纹夜蛾、高隆象、蚜虫等。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61" w:name="_Toc127544872"/>
      <w:bookmarkStart w:id="62" w:name="_Toc127179037"/>
      <w:bookmarkStart w:id="63" w:name="_Toc130826214"/>
      <w:bookmarkStart w:id="64" w:name="_Toc130462764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防治原则</w:t>
      </w:r>
      <w:bookmarkEnd w:id="61"/>
      <w:bookmarkEnd w:id="62"/>
      <w:bookmarkEnd w:id="63"/>
      <w:bookmarkEnd w:id="64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坚持“预防为主，综合防治”的植保方针，协调运用农业防治、理化诱控、生物防治和化学防治等措施，将病虫危害控制在经济阈值以下。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</w:pPr>
      <w:bookmarkStart w:id="65" w:name="_Toc127544873"/>
      <w:bookmarkStart w:id="66" w:name="_Toc130826215"/>
      <w:bookmarkStart w:id="67" w:name="_Toc127179038"/>
      <w:bookmarkStart w:id="68" w:name="_Toc130462765"/>
      <w:r>
        <w:rPr>
          <w:rFonts w:hint="eastAsia" w:asci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32"/>
          <w:szCs w:val="32"/>
          <w:u w:val="none"/>
          <w:vertAlign w:val="baseline"/>
          <w:lang w:val="en-US" w:eastAsia="zh-CN" w:bidi="ar-SA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  <w14:cntxtalts w14:val="0"/>
        </w:rPr>
        <w:t>防治措施</w:t>
      </w:r>
      <w:bookmarkEnd w:id="65"/>
      <w:bookmarkEnd w:id="66"/>
      <w:bookmarkEnd w:id="67"/>
      <w:bookmarkEnd w:id="68"/>
    </w:p>
    <w:p>
      <w:pPr>
        <w:pStyle w:val="18"/>
        <w:keepNext w:val="0"/>
        <w:keepLines w:val="0"/>
        <w:pageBreakBefore w:val="0"/>
        <w:widowControl w:val="0"/>
        <w:numPr>
          <w:ilvl w:val="3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农业防治</w:t>
      </w: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选用抗病品种，冬季翻耕耙茬，播前翻耕平整，合理配置株行距，增施有机肥，及时排涝，培育健壮植株，以培育健壮植株减轻病虫发生为害。</w:t>
      </w:r>
    </w:p>
    <w:p>
      <w:pPr>
        <w:pStyle w:val="18"/>
        <w:keepNext w:val="0"/>
        <w:keepLines w:val="0"/>
        <w:pageBreakBefore w:val="0"/>
        <w:widowControl w:val="0"/>
        <w:numPr>
          <w:ilvl w:val="3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理化诱控</w:t>
      </w: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通过安装或悬挂的灯诱、性诱、色诱、食诱装置，同步诱杀大豆鞘翅目、鳞翅目和同翅目等害虫。</w:t>
      </w:r>
    </w:p>
    <w:p>
      <w:pPr>
        <w:pStyle w:val="18"/>
        <w:keepNext w:val="0"/>
        <w:keepLines w:val="0"/>
        <w:pageBreakBefore w:val="0"/>
        <w:widowControl w:val="0"/>
        <w:numPr>
          <w:ilvl w:val="3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生物防治</w:t>
      </w: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通过释放瓢虫等天敌防治大豆蚜虫。选择枯草芽孢杆菌、木霉菌等生物农药防治病害，选择苏云金杆菌、球孢白僵菌、绿僵菌等生物农药防治害虫。农药使用应符合NY/T 1276的规定。</w:t>
      </w:r>
    </w:p>
    <w:p>
      <w:pPr>
        <w:pStyle w:val="18"/>
        <w:keepNext w:val="0"/>
        <w:keepLines w:val="0"/>
        <w:pageBreakBefore w:val="0"/>
        <w:widowControl w:val="0"/>
        <w:numPr>
          <w:ilvl w:val="3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化学防治</w:t>
      </w:r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在病虫害大量发生时，可以选择苯醚·嘧菌酯、噻虫嗪·氯虫苯甲酰胺等高效低毒低残留化学农药进行防治，注意严格按照农药安全间隔期使用，交替用药以防止产生抗药性。农药使用应符合GB/T 8321、NY/T 1276的规定。</w:t>
      </w:r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72" w:firstLineChars="200"/>
        <w:jc w:val="both"/>
        <w:rPr>
          <w:rFonts w:hint="eastAsia" w:ascii="Times New Roman" w:cs="Times New Roman"/>
          <w:b w:val="0"/>
          <w:bCs w:val="0"/>
          <w:color w:val="auto"/>
          <w:spacing w:val="8"/>
          <w:kern w:val="36"/>
          <w:sz w:val="32"/>
          <w:szCs w:val="32"/>
          <w:lang w:eastAsia="zh-CN"/>
        </w:rPr>
      </w:pPr>
      <w:bookmarkStart w:id="69" w:name="_Toc127544874"/>
      <w:bookmarkStart w:id="70" w:name="_Toc127179039"/>
      <w:bookmarkStart w:id="71" w:name="_Toc130462766"/>
      <w:bookmarkStart w:id="72" w:name="_Toc130826216"/>
    </w:p>
    <w:p>
      <w:pPr>
        <w:pStyle w:val="16"/>
        <w:keepNext w:val="0"/>
        <w:keepLines w:val="0"/>
        <w:pageBreakBefore w:val="0"/>
        <w:widowControl w:val="0"/>
        <w:numPr>
          <w:ilvl w:val="1"/>
          <w:numId w:val="0"/>
        </w:numPr>
        <w:shd w:val="clear"/>
        <w:kinsoku/>
        <w:wordWrap/>
        <w:overflowPunct/>
        <w:topLinePunct w:val="0"/>
        <w:bidi w:val="0"/>
        <w:snapToGrid w:val="0"/>
        <w:spacing w:before="0" w:beforeLines="0" w:after="0" w:afterLines="0" w:line="620" w:lineRule="exact"/>
        <w:ind w:left="0" w:leftChars="0" w:firstLine="672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</w:pPr>
      <w:bookmarkStart w:id="73" w:name="_GoBack"/>
      <w:bookmarkEnd w:id="73"/>
      <w:r>
        <w:rPr>
          <w:rFonts w:hint="eastAsia" w:ascii="Times New Roman" w:cs="Times New Roman"/>
          <w:b w:val="0"/>
          <w:bCs w:val="0"/>
          <w:color w:val="auto"/>
          <w:spacing w:val="8"/>
          <w:kern w:val="36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  <w14:ligatures w14:val="none"/>
        </w:rPr>
        <w:t>收获</w:t>
      </w:r>
      <w:bookmarkEnd w:id="69"/>
      <w:bookmarkEnd w:id="70"/>
      <w:bookmarkEnd w:id="71"/>
      <w:bookmarkEnd w:id="72"/>
    </w:p>
    <w:p>
      <w:pPr>
        <w:pStyle w:val="1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鲜食大豆品种进入鼓粒末期，籽粒饱满呈绿色微软状，豆荚仍为绿色时及时采收鲜豆荚。粒用大豆品种进入完熟期，95%以上豆荚变干，籽粒变硬即可收获，及时晾晒、脱粒、清选和入库。提倡机收。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644" w:bottom="1417" w:left="1644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2139F1-4D39-465F-89EE-266651AF2C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D8BDC98-4F86-4CBF-B333-DB7BC9BC72C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238A04B-5CB2-4C2F-8B4B-A023D0ECEF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3D35BA0-6F4A-4010-A8F9-9158A5C0C5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B75591E-F686-40B2-BDFE-7DFACD5168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85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18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0NWE3ZjA1M2YxNjc2NTM4YjZkYTI3ZTUxNzFjMzQifQ=="/>
  </w:docVars>
  <w:rsids>
    <w:rsidRoot w:val="00182CB6"/>
    <w:rsid w:val="00003463"/>
    <w:rsid w:val="000C7FD3"/>
    <w:rsid w:val="0013134D"/>
    <w:rsid w:val="0013656D"/>
    <w:rsid w:val="00155FD3"/>
    <w:rsid w:val="00162FF5"/>
    <w:rsid w:val="00164F9A"/>
    <w:rsid w:val="00182CB6"/>
    <w:rsid w:val="0018517D"/>
    <w:rsid w:val="001C4533"/>
    <w:rsid w:val="001C5094"/>
    <w:rsid w:val="001F04BB"/>
    <w:rsid w:val="001F082B"/>
    <w:rsid w:val="0020719C"/>
    <w:rsid w:val="002150A3"/>
    <w:rsid w:val="002A7870"/>
    <w:rsid w:val="002C083C"/>
    <w:rsid w:val="002F79DB"/>
    <w:rsid w:val="00311ABB"/>
    <w:rsid w:val="00383C6E"/>
    <w:rsid w:val="003B65C8"/>
    <w:rsid w:val="003B76DF"/>
    <w:rsid w:val="003C1EC7"/>
    <w:rsid w:val="003D6D3C"/>
    <w:rsid w:val="003D7DF2"/>
    <w:rsid w:val="00400863"/>
    <w:rsid w:val="00471A4E"/>
    <w:rsid w:val="0049065D"/>
    <w:rsid w:val="004C43D2"/>
    <w:rsid w:val="004C6F70"/>
    <w:rsid w:val="004C7F2A"/>
    <w:rsid w:val="00537EE1"/>
    <w:rsid w:val="00555D52"/>
    <w:rsid w:val="00594A5C"/>
    <w:rsid w:val="005B79A7"/>
    <w:rsid w:val="00666ED9"/>
    <w:rsid w:val="0068006F"/>
    <w:rsid w:val="006D2E3F"/>
    <w:rsid w:val="006E485C"/>
    <w:rsid w:val="006F470F"/>
    <w:rsid w:val="00707BD6"/>
    <w:rsid w:val="00735C7B"/>
    <w:rsid w:val="00756F33"/>
    <w:rsid w:val="007E2BE6"/>
    <w:rsid w:val="007F3C0F"/>
    <w:rsid w:val="00825A6B"/>
    <w:rsid w:val="0087319C"/>
    <w:rsid w:val="008802CD"/>
    <w:rsid w:val="00882C22"/>
    <w:rsid w:val="00887B20"/>
    <w:rsid w:val="008B3494"/>
    <w:rsid w:val="008D2E2F"/>
    <w:rsid w:val="0095339C"/>
    <w:rsid w:val="00961BC1"/>
    <w:rsid w:val="00965826"/>
    <w:rsid w:val="00975099"/>
    <w:rsid w:val="00A23F82"/>
    <w:rsid w:val="00B07BCA"/>
    <w:rsid w:val="00B1150E"/>
    <w:rsid w:val="00B27B01"/>
    <w:rsid w:val="00B6162A"/>
    <w:rsid w:val="00B61E4F"/>
    <w:rsid w:val="00BE2D19"/>
    <w:rsid w:val="00BF313E"/>
    <w:rsid w:val="00C4649C"/>
    <w:rsid w:val="00C532A0"/>
    <w:rsid w:val="00CB3E13"/>
    <w:rsid w:val="00CF364A"/>
    <w:rsid w:val="00D10E57"/>
    <w:rsid w:val="00D17520"/>
    <w:rsid w:val="00D25550"/>
    <w:rsid w:val="00D32884"/>
    <w:rsid w:val="00D629F4"/>
    <w:rsid w:val="00D64200"/>
    <w:rsid w:val="00D81B87"/>
    <w:rsid w:val="00D869E6"/>
    <w:rsid w:val="00D87A4A"/>
    <w:rsid w:val="00DB09D7"/>
    <w:rsid w:val="00DB6C92"/>
    <w:rsid w:val="00E15D11"/>
    <w:rsid w:val="00E264C6"/>
    <w:rsid w:val="00E95F17"/>
    <w:rsid w:val="00EB1791"/>
    <w:rsid w:val="00F040E1"/>
    <w:rsid w:val="00F85BE5"/>
    <w:rsid w:val="00FA1F2F"/>
    <w:rsid w:val="00FD3D86"/>
    <w:rsid w:val="09F753DE"/>
    <w:rsid w:val="0BF7B2A8"/>
    <w:rsid w:val="0C82228A"/>
    <w:rsid w:val="178473E2"/>
    <w:rsid w:val="2FDEFB7E"/>
    <w:rsid w:val="32DD4E38"/>
    <w:rsid w:val="33F7EE37"/>
    <w:rsid w:val="36CFAA90"/>
    <w:rsid w:val="36DF1CF3"/>
    <w:rsid w:val="374E6478"/>
    <w:rsid w:val="376F71AA"/>
    <w:rsid w:val="3A6164C2"/>
    <w:rsid w:val="3BED7D30"/>
    <w:rsid w:val="3DEFE09E"/>
    <w:rsid w:val="3E6D324F"/>
    <w:rsid w:val="3F35D11A"/>
    <w:rsid w:val="3FF1D8F3"/>
    <w:rsid w:val="3FFFDE7D"/>
    <w:rsid w:val="45D4BF50"/>
    <w:rsid w:val="4B4C6A22"/>
    <w:rsid w:val="5EFF9B38"/>
    <w:rsid w:val="5F3FC650"/>
    <w:rsid w:val="5FEE526D"/>
    <w:rsid w:val="5FF6328F"/>
    <w:rsid w:val="63954108"/>
    <w:rsid w:val="6609262D"/>
    <w:rsid w:val="666F1F97"/>
    <w:rsid w:val="67D50917"/>
    <w:rsid w:val="67FFC284"/>
    <w:rsid w:val="6A3A2058"/>
    <w:rsid w:val="6B3C014E"/>
    <w:rsid w:val="6E7F474A"/>
    <w:rsid w:val="6F6309D5"/>
    <w:rsid w:val="6FDC8449"/>
    <w:rsid w:val="6FDF32D4"/>
    <w:rsid w:val="737DA9B5"/>
    <w:rsid w:val="74AFA4BD"/>
    <w:rsid w:val="77E4A014"/>
    <w:rsid w:val="796D1E4F"/>
    <w:rsid w:val="79895724"/>
    <w:rsid w:val="7B77A16C"/>
    <w:rsid w:val="7BF5BE1F"/>
    <w:rsid w:val="7CD70083"/>
    <w:rsid w:val="7EC5F026"/>
    <w:rsid w:val="7F9FB1A8"/>
    <w:rsid w:val="7FBB13DE"/>
    <w:rsid w:val="7FEE8B91"/>
    <w:rsid w:val="9EBC7454"/>
    <w:rsid w:val="9EDF3216"/>
    <w:rsid w:val="9FDDE5F9"/>
    <w:rsid w:val="AAFFA0F7"/>
    <w:rsid w:val="ABBFD1AE"/>
    <w:rsid w:val="AD6B8DC4"/>
    <w:rsid w:val="AFD71856"/>
    <w:rsid w:val="B3F65B96"/>
    <w:rsid w:val="B5F6B6E2"/>
    <w:rsid w:val="B8FDA89E"/>
    <w:rsid w:val="BBBF43ED"/>
    <w:rsid w:val="BE7D0CF3"/>
    <w:rsid w:val="BF1F8AA0"/>
    <w:rsid w:val="C7AB7E94"/>
    <w:rsid w:val="D97B483E"/>
    <w:rsid w:val="DBEBDA1A"/>
    <w:rsid w:val="DEFB8BA5"/>
    <w:rsid w:val="E2FF65AF"/>
    <w:rsid w:val="E8FF591D"/>
    <w:rsid w:val="EBEF6A9B"/>
    <w:rsid w:val="EFDFE8E0"/>
    <w:rsid w:val="EFFD1F26"/>
    <w:rsid w:val="F1BF486E"/>
    <w:rsid w:val="F4BE57F4"/>
    <w:rsid w:val="F77B822A"/>
    <w:rsid w:val="F7E4548C"/>
    <w:rsid w:val="FB272084"/>
    <w:rsid w:val="FBFFDFA8"/>
    <w:rsid w:val="FDBC1F35"/>
    <w:rsid w:val="FEBE57D9"/>
    <w:rsid w:val="FF1D9B58"/>
    <w:rsid w:val="FF7D4FF2"/>
    <w:rsid w:val="FF7F0035"/>
    <w:rsid w:val="FFFE4909"/>
    <w:rsid w:val="FFFE61F3"/>
    <w:rsid w:val="FF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toa heading"/>
    <w:basedOn w:val="1"/>
    <w:next w:val="1"/>
    <w:qFormat/>
    <w:uiPriority w:val="99"/>
    <w:rPr>
      <w:rFonts w:ascii="Arial" w:hAnsi="Arial"/>
      <w:sz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lang w:val="en-US" w:eastAsia="zh-CN" w:bidi="ar-SA"/>
      <w14:ligatures w14:val="none"/>
    </w:rPr>
  </w:style>
  <w:style w:type="paragraph" w:customStyle="1" w:styleId="16">
    <w:name w:val="标准文件_章标题"/>
    <w:next w:val="15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kern w:val="0"/>
      <w:sz w:val="21"/>
      <w:lang w:val="en-US" w:eastAsia="zh-CN" w:bidi="ar-SA"/>
      <w14:ligatures w14:val="none"/>
    </w:rPr>
  </w:style>
  <w:style w:type="paragraph" w:customStyle="1" w:styleId="17">
    <w:name w:val="标准文件_一级条标题"/>
    <w:basedOn w:val="16"/>
    <w:next w:val="15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8">
    <w:name w:val="标准文件_二级条标题"/>
    <w:next w:val="15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0"/>
      <w:sz w:val="21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1485</Words>
  <Characters>1719</Characters>
  <Lines>11</Lines>
  <Paragraphs>3</Paragraphs>
  <TotalTime>26</TotalTime>
  <ScaleCrop>false</ScaleCrop>
  <LinksUpToDate>false</LinksUpToDate>
  <CharactersWithSpaces>1738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2023-06-19T03:09:00Z</dcterms:created>
  <dc:creator>WanL</dc:creator>
  <cp:lastModifiedBy>大楼</cp:lastModifiedBy>
  <cp:lastPrinted>2023-06-27T17:15:00Z</cp:lastPrinted>
  <dcterms:modified xsi:type="dcterms:W3CDTF">2023-06-30T02:18:27Z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3B061774196440888C95A810984F4588_13</vt:lpwstr>
  </property>
</Properties>
</file>